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3157</w:t>
        <w:t xml:space="preserve">.  </w:t>
      </w:r>
      <w:r>
        <w:rPr>
          <w:b/>
        </w:rPr>
        <w:t xml:space="preserve">Automotive fire apparatus</w:t>
      </w:r>
    </w:p>
    <w:p>
      <w:pPr>
        <w:jc w:val="both"/>
        <w:spacing w:before="100" w:after="100"/>
        <w:ind w:start="360"/>
        <w:ind w:firstLine="360"/>
      </w:pPr>
      <w:r>
        <w:rPr/>
      </w:r>
      <w:r>
        <w:rPr/>
      </w:r>
      <w:r>
        <w:t xml:space="preserve">All new automotive fire apparatus purchased by municipal fire departments or volunteer fire associations with public money must be constructed and equipped in conformance with the standards set forth in the edition of National Fire Protection, Pamphlet #1901, Standards for Automotive Fire Apparatus, which is in effect on the date of the purchase agreement.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A municipality or volunteer fire association which receives delivery of automotive fire apparatus not in conformance with these standards may, in addition to its other remedies, recover in a civil action a penalty from the seller in an amount equal to 10% of the purchase price of the apparatus.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§3157. Automotive fire apparatus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§3157. Automotive fire apparatus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§3157. AUTOMOTIVE FIRE APPARATUS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