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Enactment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Enactment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§3002. ENACTMENT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