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2639</w:t>
        <w:t xml:space="preserve">.  </w:t>
      </w:r>
      <w:r>
        <w:rPr>
          <w:b/>
        </w:rPr>
        <w:t xml:space="preserve">Application</w:t>
      </w:r>
    </w:p>
    <w:p>
      <w:pPr>
        <w:jc w:val="both"/>
        <w:spacing w:before="100" w:after="100"/>
        <w:ind w:start="360"/>
        <w:ind w:firstLine="360"/>
      </w:pPr>
      <w:r>
        <w:rPr/>
      </w:r>
      <w:r>
        <w:rPr/>
      </w:r>
      <w:r>
        <w:t xml:space="preserve">All municipalities operating under the repealed </w:t>
      </w:r>
      <w:r>
        <w:t>Title 30, chapter 213, subchapter II</w:t>
      </w:r>
      <w:r>
        <w:t xml:space="preserve"> are deemed to have made the adoption under </w:t>
      </w:r>
      <w:r>
        <w:t>section 2631, subsection 1</w:t>
      </w:r>
      <w:r>
        <w:t xml:space="preserve">, as of October 1, 1969.</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§2639.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§2639.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§2639.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