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Forms of regional councils</w:t>
      </w:r>
    </w:p>
    <w:p>
      <w:pPr>
        <w:jc w:val="both"/>
        <w:spacing w:before="100" w:after="100"/>
        <w:ind w:start="360"/>
        <w:ind w:firstLine="360"/>
      </w:pPr>
      <w:r>
        <w:rPr/>
      </w:r>
      <w:r>
        <w:rPr/>
      </w:r>
      <w:r>
        <w:t xml:space="preserve">The Legislature recognizes councils of governments and regional planning commissions as forms of regional councils.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§2302. Forms of regional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Forms of regional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§2302. FORMS OF REGIONAL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