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Former districts unaffected</w:t>
      </w:r>
    </w:p>
    <w:p>
      <w:pPr>
        <w:jc w:val="both"/>
        <w:spacing w:before="100" w:after="100"/>
        <w:ind w:start="360"/>
        <w:ind w:firstLine="360"/>
      </w:pPr>
      <w:r>
        <w:rPr/>
      </w:r>
      <w:r>
        <w:rPr/>
      </w:r>
      <w:r>
        <w:t xml:space="preserve">In municipalities which acted under the repealed </w:t>
      </w:r>
      <w:r>
        <w:t>section 8‑A</w:t>
      </w:r>
      <w:r>
        <w:t xml:space="preserve"> of </w:t>
      </w:r>
      <w:r>
        <w:t>chapter 90‑A</w:t>
      </w:r>
      <w:r>
        <w:t xml:space="preserve"> of the Revised Statutes of 1954, the district formed remains effective so far as it complies with this chapter and may be continued accordingly.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§2207. Former districts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Former districts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§2207. FORMER DISTRICTS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