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Effect of private and special laws</w:t>
      </w:r>
    </w:p>
    <w:p>
      <w:pPr>
        <w:jc w:val="both"/>
        <w:spacing w:before="100" w:after="100"/>
        <w:ind w:start="360"/>
        <w:ind w:firstLine="360"/>
      </w:pPr>
      <w:r>
        <w:rPr/>
      </w:r>
      <w:r>
        <w:rPr/>
      </w:r>
      <w:r>
        <w:t xml:space="preserve">Private and special laws applying to a municipality remain in effect until repealed or amended by a charter revision, adoption, modification or amendment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§2107. Effect of private and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Effect of private and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§2107. EFFECT OF PRIVATE AND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