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Collection of unpaid charges</w:t>
      </w:r>
    </w:p>
    <w:p>
      <w:pPr>
        <w:jc w:val="both"/>
        <w:spacing w:before="100" w:after="100"/>
        <w:ind w:start="360"/>
        <w:ind w:firstLine="360"/>
      </w:pPr>
      <w:r>
        <w:rPr/>
      </w:r>
      <w:r>
        <w:rPr/>
      </w:r>
      <w:r>
        <w:t xml:space="preserve">The treasurer of the jail authority may collect the rates, tolls, assessments, rents, transportation charges and other charges established by the jail authority and those charges are committed to the treasurer.  The treasurer may, after demand for payment, sue in the name of the jail authority in a civil action for any rate, toll, rent, assessment, transportation charge or other charges remaining unpaid in any court of competent jurisdiction. In addition, the treasurer may order the termination of service for nonpayment of any amount owed to the jail authority. The treasurer may also collect rates, tolls, assessments, rents, transportation charges or other charges remaining unpaid pursuant to </w:t>
      </w:r>
      <w:r>
        <w:t>Title 36, section 891</w:t>
      </w:r>
      <w:r>
        <w:t xml:space="preserve">, to the extent applicable and only against assets of the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§1953. Collection of unpaid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Collection of unpaid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§1953. COLLECTION OF UNPAID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