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Charter powers; limits</w:t>
      </w:r>
    </w:p>
    <w:p>
      <w:pPr>
        <w:jc w:val="both"/>
        <w:spacing w:before="100" w:after="100"/>
        <w:ind w:start="360"/>
        <w:ind w:firstLine="360"/>
      </w:pPr>
      <w:r>
        <w:rPr>
          <w:b/>
        </w:rPr>
        <w:t>1</w:t>
        <w:t xml:space="preserve">.  </w:t>
      </w:r>
      <w:r>
        <w:rPr>
          <w:b/>
        </w:rPr>
        <w:t xml:space="preserve">Charter powers.</w:t>
        <w:t xml:space="preserve"> </w:t>
      </w:r>
      <w:r>
        <w:t xml:space="preserve"> </w:t>
      </w:r>
      <w:r>
        <w:t xml:space="preserve">The charter for any county may provide for:</w:t>
      </w:r>
    </w:p>
    <w:p>
      <w:pPr>
        <w:jc w:val="both"/>
        <w:spacing w:before="100" w:after="0"/>
        <w:ind w:start="720"/>
      </w:pPr>
      <w:r>
        <w:rPr/>
        <w:t>A</w:t>
        <w:t xml:space="preserve">.  </w:t>
      </w:r>
      <w:r>
        <w:rPr/>
      </w:r>
      <w:r>
        <w:t xml:space="preserve">The organization of county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election of a county legislative body and the method of selecting officers, officials and employees;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establishment of county departments, agencies, boards or commissions, and their descriptions, powers and duties; and the powers and authority of county officers or officials to direct, regulate and control these agencies, departments, boards and commissions;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internal activities of county government;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provisions required for the transition to the new form.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Limitations.</w:t>
        <w:t xml:space="preserve"> </w:t>
      </w:r>
      <w:r>
        <w:t xml:space="preserve"> </w:t>
      </w:r>
      <w:r>
        <w:t xml:space="preserve">A county adopting a charter under this chapter may exercise only those powers specifically stated in the charter.  New powers may only be exercised upon amendment or revision of the charter.  In any event, no county may, by the adoption, amendment or revision of a charter, exercise any power or function which the Legislature has not conferred on that county either expressly or by clear implication by general or specific law.  A county may not alter the statutory method of raising money for county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Districts.</w:t>
        <w:t xml:space="preserve"> </w:t>
      </w:r>
      <w:r>
        <w:t xml:space="preserve"> </w:t>
      </w:r>
      <w:r>
        <w:t xml:space="preserve">A county adopting a charter under this chapter shall provide for the election of county officers from 3, 5 or 7 districts, from each of which one officer shall be elected.  The charter shall specify the number of districts and establish the boundaries of each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§1351. Charter powers;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Charter powers;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§1351. CHARTER POWERS;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