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Warrants of distress; actions</w:t>
      </w:r>
    </w:p>
    <w:p>
      <w:pPr>
        <w:jc w:val="both"/>
        <w:spacing w:before="100" w:after="100"/>
        <w:ind w:start="360"/>
        <w:ind w:firstLine="360"/>
      </w:pPr>
      <w:r>
        <w:rPr/>
      </w:r>
      <w:r>
        <w:rPr/>
      </w:r>
      <w:r>
        <w:t xml:space="preserve">Warrants of distress on judgments legally rendered by the county commissioners may be originally issued within 2 years after judgment and made returnable to the clerk's office within 90 days from their date.  New warrants may be issued within 2 years from the return day of the last preceding warrant for any sums remaining unpaid.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Warrants against municipalities.</w:t>
        <w:t xml:space="preserve"> </w:t>
      </w:r>
      <w:r>
        <w:t xml:space="preserve"> </w:t>
      </w:r>
      <w:r>
        <w:t xml:space="preserve">No warrant may be originally issued against a municipality until 20 days after the county clerk transmits a certificate of rendition of the judgment to the assessors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Interest.</w:t>
        <w:t xml:space="preserve"> </w:t>
      </w:r>
      <w:r>
        <w:t xml:space="preserve"> </w:t>
      </w:r>
      <w:r>
        <w:t xml:space="preserve">Interest on the damages shall be included and collected by warrants as in executions.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w:t>
        <w:t xml:space="preserve"> </w:t>
      </w:r>
      <w:r>
        <w:t xml:space="preserve"> </w:t>
      </w:r>
      <w:r>
        <w:t xml:space="preserve">A party, for whose benefit a judgment is rendered by the county commissioners, may recover the amount in a civil action founded on that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Warrants of distress;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Warrants of distress;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§106. WARRANTS OF DISTRESS;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