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NOTICE OF PETITIONS FOR LEGISLATION</w:t>
      </w:r>
    </w:p>
    <w:p>
      <w:pPr>
        <w:jc w:val="both"/>
        <w:spacing w:before="100" w:after="100"/>
        <w:ind w:start="1080" w:hanging="720"/>
      </w:pPr>
      <w:r>
        <w:rPr>
          <w:b/>
        </w:rPr>
        <w:t>§</w:t>
        <w:t>121</w:t>
        <w:t xml:space="preserve">.  </w:t>
      </w:r>
      <w:r>
        <w:rPr>
          <w:b/>
        </w:rPr>
        <w:t xml:space="preserve">Notice of petitions affecting individuals or corporations</w:t>
      </w:r>
    </w:p>
    <w:p>
      <w:pPr>
        <w:jc w:val="both"/>
        <w:spacing w:before="100" w:after="100"/>
        <w:ind w:start="360"/>
        <w:ind w:firstLine="360"/>
      </w:pPr>
      <w:r>
        <w:rPr/>
      </w:r>
      <w:r>
        <w:rPr/>
      </w:r>
      <w:r>
        <w:t xml:space="preserve">Notice of any petition for legislation, affecting the rights of individuals or corporations, may be given by serving them with a true copy of the petition at least 14 days before the commencement of the next session, or by publishing such copy 3 weeks successively in a newspaper of general circulation in the counties in which such individuals reside or such corporations are established, the last publication to be at least 14 days before the session.  If further service is deemed necessary, or if notice is defective or insufficient, further notice may be ordered.</w:t>
      </w:r>
      <w:r>
        <w:t xml:space="preserve">  </w:t>
      </w:r>
      <w:r xmlns:wp="http://schemas.openxmlformats.org/drawingml/2010/wordprocessingDrawing" xmlns:w15="http://schemas.microsoft.com/office/word/2012/wordml">
        <w:rPr>
          <w:rFonts w:ascii="Arial" w:hAnsi="Arial" w:cs="Arial"/>
          <w:sz w:val="22"/>
          <w:szCs w:val="22"/>
        </w:rPr>
        <w:t xml:space="preserve">[PL 1987, c. 667,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 (AMD). </w:t>
      </w:r>
    </w:p>
    <w:p>
      <w:pPr>
        <w:jc w:val="both"/>
        <w:spacing w:before="100" w:after="100"/>
        <w:ind w:start="1080" w:hanging="720"/>
      </w:pPr>
      <w:r>
        <w:rPr>
          <w:b/>
        </w:rPr>
        <w:t>§</w:t>
        <w:t>122</w:t>
        <w:t xml:space="preserve">.  </w:t>
      </w:r>
      <w:r>
        <w:rPr>
          <w:b/>
        </w:rPr>
        <w:t xml:space="preserve">Notice of petitions affecting town or county</w:t>
      </w:r>
    </w:p>
    <w:p>
      <w:pPr>
        <w:jc w:val="both"/>
        <w:spacing w:before="100" w:after="100"/>
        <w:ind w:start="360"/>
        <w:ind w:firstLine="360"/>
      </w:pPr>
      <w:r>
        <w:rPr/>
      </w:r>
      <w:r>
        <w:rPr/>
      </w:r>
      <w:r>
        <w:t xml:space="preserve">Notice of any petition affecting the rights or interests of any town or county may be given to such town by serving it with a true copy of the petition at least 14 days before the session, and to such county by publishing as prescribed in </w:t>
      </w:r>
      <w:r>
        <w:t>section 121</w:t>
      </w:r>
      <w:r>
        <w:t xml:space="preserve">.</w:t>
      </w:r>
    </w:p>
    <w:p>
      <w:pPr>
        <w:jc w:val="both"/>
        <w:spacing w:before="100" w:after="100"/>
        <w:ind w:start="1080" w:hanging="720"/>
      </w:pPr>
      <w:r>
        <w:rPr>
          <w:b/>
        </w:rPr>
        <w:t>§</w:t>
        <w:t>123</w:t>
        <w:t xml:space="preserve">.  </w:t>
      </w:r>
      <w:r>
        <w:rPr>
          <w:b/>
        </w:rPr>
        <w:t xml:space="preserve">No notice; petition referred</w:t>
      </w:r>
    </w:p>
    <w:p>
      <w:pPr>
        <w:jc w:val="both"/>
        <w:spacing w:before="100" w:after="100"/>
        <w:ind w:start="360"/>
        <w:ind w:firstLine="360"/>
      </w:pPr>
      <w:r>
        <w:rPr/>
      </w:r>
      <w:r>
        <w:rPr/>
      </w:r>
      <w:r>
        <w:t xml:space="preserve">Petitions mentioned in </w:t>
      </w:r>
      <w:r>
        <w:t>sections 121</w:t>
      </w:r>
      <w:r>
        <w:t xml:space="preserve"> and </w:t>
      </w:r>
      <w:r>
        <w:t>122</w:t>
      </w:r>
      <w:r>
        <w:t xml:space="preserve"> without proof of notice as prescribed shall be referred, with order of notice, to the next Legislature.</w:t>
      </w:r>
    </w:p>
    <w:p>
      <w:pPr>
        <w:jc w:val="both"/>
        <w:spacing w:before="100" w:after="100"/>
        <w:ind w:start="1080" w:hanging="720"/>
      </w:pPr>
      <w:r>
        <w:rPr>
          <w:b/>
        </w:rPr>
        <w:t>§</w:t>
        <w:t>124</w:t>
        <w:t xml:space="preserve">.  </w:t>
      </w:r>
      <w:r>
        <w:rPr>
          <w:b/>
        </w:rPr>
        <w:t xml:space="preserve">Service; proof</w:t>
      </w:r>
    </w:p>
    <w:p>
      <w:pPr>
        <w:jc w:val="both"/>
        <w:spacing w:before="100" w:after="100"/>
        <w:ind w:start="360"/>
        <w:ind w:firstLine="360"/>
      </w:pPr>
      <w:r>
        <w:rPr/>
      </w:r>
      <w:r>
        <w:rPr/>
      </w:r>
      <w:r>
        <w:t xml:space="preserve">Service of notice of petitions described in </w:t>
      </w:r>
      <w:r>
        <w:t>sections 121</w:t>
      </w:r>
      <w:r>
        <w:t xml:space="preserve"> and </w:t>
      </w:r>
      <w:r>
        <w:t>122</w:t>
      </w:r>
      <w:r>
        <w:t xml:space="preserve"> may be made by any sheriff or constable, and proved by the proper return by the sheriff or constable or by written acknowledgment of the adverse party on the petition or, if notice is given by publication, then by the newspapers or the affidavit of the printer.</w:t>
      </w:r>
      <w:r>
        <w:t xml:space="preserve">  </w:t>
      </w:r>
      <w:r xmlns:wp="http://schemas.openxmlformats.org/drawingml/2010/wordprocessingDrawing" xmlns:w15="http://schemas.microsoft.com/office/word/2012/wordml">
        <w:rPr>
          <w:rFonts w:ascii="Arial" w:hAnsi="Arial" w:cs="Arial"/>
          <w:sz w:val="22"/>
          <w:szCs w:val="22"/>
        </w:rPr>
        <w:t xml:space="preserve">[PL 2019, c. 475,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§17 (AMD). </w:t>
      </w:r>
    </w:p>
    <w:p>
      <w:pPr>
        <w:jc w:val="both"/>
        <w:spacing w:before="100" w:after="100"/>
        <w:ind w:start="1080" w:hanging="720"/>
      </w:pPr>
      <w:r>
        <w:rPr>
          <w:b/>
        </w:rPr>
        <w:t>§</w:t>
        <w:t>125</w:t>
        <w:t xml:space="preserve">.  </w:t>
      </w:r>
      <w:r>
        <w:rPr>
          <w:b/>
        </w:rPr>
        <w:t xml:space="preserve">Notice of petitions for special legislation pertaining to fish and game</w:t>
      </w:r>
    </w:p>
    <w:p>
      <w:pPr>
        <w:jc w:val="both"/>
        <w:spacing w:before="100" w:after="100"/>
        <w:ind w:start="360"/>
        <w:ind w:firstLine="360"/>
      </w:pPr>
      <w:r>
        <w:rPr/>
      </w:r>
      <w:r>
        <w:rPr/>
      </w:r>
      <w:r>
        <w:t xml:space="preserve">Notice of petitions, bills or resolves for special legislation, regarding or in any manner pertaining to fish or game, shall be given with full description of the territory or waters affected by such legislation, in a newspaper of general circulation in the locality affected, at least once a week for 8 consecutive weeks, the last notice to be not less than one, nor more than 3 weeks before the assembling of the Legislature of which such legislation is requested, and such notice shall be absolutely required before any such legislation shall be enacted.  All laws hereafter enacted pertaining to fish or game which do not conform to the general laws of the State shall for the purposes of this section be deemed special.  This section shall not apply to any petition, Act or resolve, either repealing or amendatory, which has for its object the placing of the territory or waters in question under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667,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NOTICE OF PETITIONS FOR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NOTICE OF PETITIONS FOR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5. NOTICE OF PETITIONS FOR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