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Notice of suspension or revocation of license</w:t>
      </w:r>
    </w:p>
    <w:p>
      <w:pPr>
        <w:jc w:val="both"/>
        <w:spacing w:before="100" w:after="100"/>
        <w:ind w:start="360"/>
        <w:ind w:firstLine="360"/>
      </w:pPr>
      <w:r>
        <w:rPr>
          <w:b/>
        </w:rPr>
        <w:t>1</w:t>
        <w:t xml:space="preserve">.  </w:t>
      </w:r>
      <w:r>
        <w:rPr>
          <w:b/>
        </w:rPr>
        <w:t xml:space="preserve">Notification by Secretary of State.</w:t>
        <w:t xml:space="preserve"> </w:t>
      </w:r>
      <w:r>
        <w:t xml:space="preserve"> </w:t>
      </w:r>
      <w:r>
        <w:t xml:space="preserve">Upon determining that a person is subject to license suspension or revocation, the Secretary of State shall immediately notify the person, in writing, of the license suspension or revocation.  The notice:</w:t>
      </w:r>
    </w:p>
    <w:p>
      <w:pPr>
        <w:jc w:val="both"/>
        <w:spacing w:before="100" w:after="0"/>
        <w:ind w:start="720"/>
      </w:pPr>
      <w:r>
        <w:rPr/>
        <w:t>A</w:t>
        <w:t xml:space="preserve">.  </w:t>
      </w:r>
      <w:r>
        <w:rPr/>
      </w:r>
      <w:r>
        <w:t xml:space="preserve">Must be sent to the last name and address provided under </w:t>
      </w:r>
      <w:r>
        <w:t>section 1407</w:t>
      </w:r>
      <w:r>
        <w:t xml:space="preserve"> or, if the person has not applied for a license, on record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be sent to the address provided in the report of the law enforcement officer if that address differs from the address of record;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served in hand.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§33 (AMD).]</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must clearly state:</w:t>
      </w:r>
    </w:p>
    <w:p>
      <w:pPr>
        <w:jc w:val="both"/>
        <w:spacing w:before="100" w:after="0"/>
        <w:ind w:start="720"/>
      </w:pPr>
      <w:r>
        <w:rPr/>
        <w:t>A</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date of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Unless the suspension or revocation is ordered by a court or rests solely upon a conviction or adjudication in court of an offense that is, by statute, expressly made grounds for that suspension or revocation, the right of the person to request a hearing and the procedure for requesting a hearing; and</w:t>
      </w:r>
      <w:r>
        <w:t xml:space="preserve">  </w:t>
      </w:r>
      <w:r xmlns:wp="http://schemas.openxmlformats.org/drawingml/2010/wordprocessingDrawing" xmlns:w15="http://schemas.microsoft.com/office/word/2012/wordml">
        <w:rPr>
          <w:rFonts w:ascii="Arial" w:hAnsi="Arial" w:cs="Arial"/>
          <w:sz w:val="22"/>
          <w:szCs w:val="22"/>
        </w:rPr>
        <w:t xml:space="preserve">[PL 2011, c. 335,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F</w:t>
        <w:t xml:space="preserve">.  </w:t>
      </w:r>
      <w:r>
        <w:rPr/>
      </w:r>
      <w:r>
        <w:t xml:space="preserve">If the suspension or revocation is based on a report under </w:t>
      </w:r>
      <w:r>
        <w:t>section 2453‑A</w:t>
      </w:r>
      <w:r>
        <w:t xml:space="preserve"> or </w:t>
      </w:r>
      <w:r>
        <w:t>2481</w:t>
      </w:r>
      <w:r>
        <w:t xml:space="preserve">, that a copy of the report of the law enforcement officer and any alcohol test certificate and the confirmed positive drug or metabolite test result and the report of the drug recognition expert will be provided to the person upon request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§§9, 10 (AMD).]</w:t>
      </w:r>
    </w:p>
    <w:p>
      <w:pPr>
        <w:jc w:val="both"/>
        <w:spacing w:before="100" w:after="0"/>
        <w:ind w:start="360"/>
        <w:ind w:firstLine="360"/>
      </w:pPr>
      <w:r>
        <w:rPr>
          <w:b/>
        </w:rPr>
        <w:t>3</w:t>
        <w:t xml:space="preserve">.  </w:t>
      </w:r>
      <w:r>
        <w:rPr>
          <w:b/>
        </w:rPr>
        <w:t xml:space="preserve">Receipt date.</w:t>
        <w:t xml:space="preserve"> </w:t>
      </w:r>
      <w:r>
        <w:t xml:space="preserve"> </w:t>
      </w:r>
      <w:r>
        <w:t xml:space="preserve">The notice is deemed received 3 days after mailing, unless returned by postal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Effective date.</w:t>
        <w:t xml:space="preserve"> </w:t>
      </w:r>
      <w:r>
        <w:t xml:space="preserve"> </w:t>
      </w:r>
      <w:r>
        <w:t xml:space="preserve">A suspension or revocation is effective on the date specified by the Secretary of State on the notice, which may not be less than 10 days after the mailing of the notification of suspension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§50 (AMD). PL 2001, c. 361, §33 (AMD). PL 2003, c. 434, §34 (AMD). PL 2003, c. 434, §37 (AFF). PL 2009, c. 447, §64 (AMD). PL 2011, c. 335,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§2482. Notice of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Notice of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§2482. NOTICE OF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