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Exemptions</w:t>
      </w:r>
    </w:p>
    <w:p>
      <w:pPr>
        <w:jc w:val="both"/>
        <w:spacing w:before="100" w:after="100"/>
        <w:ind w:start="360"/>
        <w:ind w:firstLine="360"/>
      </w:pPr>
      <w:r>
        <w:rPr/>
      </w:r>
      <w:r>
        <w:rPr/>
      </w:r>
      <w:r>
        <w:t xml:space="preserve">The following, except for allowable alternative vehicles and school buses,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293, §3 (RPR).]</w:t>
      </w:r>
    </w:p>
    <w:p>
      <w:pPr>
        <w:jc w:val="both"/>
        <w:spacing w:before="100" w:after="0"/>
        <w:ind w:start="360"/>
        <w:ind w:firstLine="360"/>
      </w:pPr>
      <w:r>
        <w:rPr>
          <w:b/>
        </w:rPr>
        <w:t>1</w:t>
        <w:t xml:space="preserve">.  </w:t>
      </w:r>
      <w:r>
        <w:rPr>
          <w:b/>
        </w:rPr>
        <w:t xml:space="preserve">Vehicle used by day care facility.</w:t>
        <w:t xml:space="preserve"> </w:t>
      </w:r>
      <w:r>
        <w:t xml:space="preserve"> </w:t>
      </w:r>
      <w:r>
        <w:t xml:space="preserve">A vehicle designed to carry 15 or fewer passengers, including the driver, used to transport children by a day care facility, except when transporting children to and from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w:pPr>
        <w:jc w:val="both"/>
        <w:spacing w:before="100" w:after="0"/>
        <w:ind w:start="360"/>
        <w:ind w:firstLine="360"/>
      </w:pPr>
      <w:r>
        <w:rPr>
          <w:b/>
        </w:rPr>
        <w:t>2</w:t>
        <w:t xml:space="preserve">.  </w:t>
      </w:r>
      <w:r>
        <w:rPr>
          <w:b/>
        </w:rPr>
        <w:t xml:space="preserve">Vehicle used for transportation to nonschool-based Head Start facility.</w:t>
        <w:t xml:space="preserve"> </w:t>
      </w:r>
      <w:r>
        <w:t xml:space="preserve"> </w:t>
      </w:r>
      <w:r>
        <w:t xml:space="preserve">Until January 1, 2006 a vehicle designed to carry 15 or fewer passengers, including the driver, used to transport children to a nonschool-based Head Start facility if the vehicle was placed in service prior to October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§2309.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§2309.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