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Definitions -- Article II</w:t>
      </w:r>
    </w:p>
    <w:p>
      <w:pPr>
        <w:jc w:val="both"/>
        <w:spacing w:before="100" w:after="100"/>
        <w:ind w:start="360"/>
        <w:ind w:firstLine="360"/>
      </w:pPr>
      <w:r>
        <w:rPr/>
      </w:r>
      <w:r>
        <w:rPr/>
      </w:r>
      <w:r>
        <w:t xml:space="preserve">As used in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Conviction.</w:t>
        <w:t xml:space="preserve"> </w:t>
      </w:r>
      <w:r>
        <w:t xml:space="preserve"> </w:t>
      </w:r>
      <w:r>
        <w:t xml:space="preserve">"Conviction" means a conviction of any offense related to the use or operation of a motor vehicle that is prohibited by state law, municipal ordinance or administrative rule or regulation, or a forfeiture of bail, bond or other security deposited to secure appearance by a person charged with having committed any such offense, and which conviction or forfeiture is required to be reported to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state that has issued and has the power to suspend or revoke the use of the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State.</w:t>
        <w:t xml:space="preserve"> </w:t>
      </w:r>
      <w:r>
        <w:t xml:space="preserve"> </w:t>
      </w:r>
      <w:r>
        <w:t xml:space="preserve">"State" means a state,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