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Design layout or marking of license of a minor</w:t>
      </w:r>
    </w:p>
    <w:p>
      <w:pPr>
        <w:jc w:val="both"/>
        <w:spacing w:before="100" w:after="100"/>
        <w:ind w:start="360"/>
        <w:ind w:firstLine="360"/>
      </w:pPr>
      <w:r>
        <w:rPr/>
      </w:r>
      <w:r>
        <w:rPr/>
      </w:r>
      <w:r>
        <w:t xml:space="preserve">The Secretary of State shall provide that a license issued to a person less than 21 years of age bears a distinctive design layout or marking.</w:t>
      </w:r>
      <w:r>
        <w:t xml:space="preserve">  </w:t>
      </w:r>
      <w:r xmlns:wp="http://schemas.openxmlformats.org/drawingml/2010/wordprocessingDrawing" xmlns:w15="http://schemas.microsoft.com/office/word/2012/wordml">
        <w:rPr>
          <w:rFonts w:ascii="Arial" w:hAnsi="Arial" w:cs="Arial"/>
          <w:sz w:val="22"/>
          <w:szCs w:val="22"/>
        </w:rPr>
        <w:t xml:space="preserve">[PL 2019, c. 397, §21 (AMD).]</w:t>
      </w:r>
    </w:p>
    <w:p>
      <w:pPr>
        <w:jc w:val="both"/>
        <w:spacing w:before="100" w:after="0"/>
        <w:ind w:start="360"/>
        <w:ind w:firstLine="360"/>
      </w:pPr>
      <w:r>
        <w:rPr>
          <w:b/>
        </w:rPr>
        <w:t>1</w:t>
        <w:t xml:space="preserve">.  </w:t>
      </w:r>
      <w:r>
        <w:rPr>
          <w:b/>
        </w:rPr>
        <w:t xml:space="preserve">Under 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w:pPr>
        <w:jc w:val="both"/>
        <w:spacing w:before="100" w:after="0"/>
        <w:ind w:start="360"/>
        <w:ind w:firstLine="360"/>
      </w:pPr>
      <w:r>
        <w:rPr>
          <w:b/>
        </w:rPr>
        <w:t>2</w:t>
        <w:t xml:space="preserve">.  </w:t>
      </w:r>
      <w:r>
        <w:rPr>
          <w:b/>
        </w:rPr>
        <w:t xml:space="preserve">Prior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§B14 (AMD). PL 1995, c. 645, §B24 (AFF). PL 1997, c. 318, §1 (AMD). PL 1997, c. 617, §1 (AMD). PL 2005, c. 606, §B4 (AMD). PL 2009, c. 447, §29 (AMD). PL 2009, c. 598, §34 (AMD). PL 2019, c. 397,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§1404. Design layout or marking of license of a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Design layout or marking of license of a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§1404. DESIGN LAYOUT OR MARKING OF LICENSE OF A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