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§661. Duplicate certificate of title, certificate of salvage or certificate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Duplicate certificate of title, certificate of salvage or certificate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§661. DUPLICATE CERTIFICATE OF TITLE, CERTIFICATE OF SALVAGE OR CERTIFICATE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