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§2421. Forfeiture of motor vehicles for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Forfeiture of motor vehicles for OUI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§2421. FORFEITURE OF MOTOR VEHICLES FOR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