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§2302. School bus markings; lights; mirrors; school bus crossing 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School bus markings; lights; mirrors; school bus crossing arms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§2302. SCHOOL BUS MARKINGS; LIGHTS; MIRRORS; SCHOOL BUS CROSSING 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