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Required maintenance of financial responsibility</w:t>
      </w:r>
    </w:p>
    <w:p>
      <w:pPr>
        <w:jc w:val="both"/>
        <w:spacing w:before="100" w:after="0"/>
        <w:ind w:start="360"/>
        <w:ind w:firstLine="360"/>
      </w:pPr>
      <w:r>
        <w:rPr>
          <w:b/>
        </w:rPr>
        <w:t>1</w:t>
        <w:t xml:space="preserve">.  </w:t>
      </w:r>
      <w:r>
        <w:rPr>
          <w:b/>
        </w:rPr>
        <w:t xml:space="preserve">Requirement.</w:t>
        <w:t xml:space="preserve"> </w:t>
      </w:r>
      <w:r>
        <w:t xml:space="preserve"> </w:t>
      </w:r>
      <w:r>
        <w:t xml:space="preserve">An operator or owner of a vehicle registered in this State or required to be registered in this State shall maintain the amounts of motor vehicle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§25 (AMD).]</w:t>
      </w:r>
    </w:p>
    <w:p>
      <w:pPr>
        <w:jc w:val="both"/>
        <w:spacing w:before="100" w:after="0"/>
        <w:ind w:start="360"/>
        <w:ind w:firstLine="360"/>
      </w:pPr>
      <w:r>
        <w:rPr>
          <w:b/>
        </w:rPr>
        <w:t>2</w:t>
        <w:t xml:space="preserve">.  </w:t>
      </w:r>
      <w:r>
        <w:rPr>
          <w:b/>
        </w:rPr>
        <w:t xml:space="preserve">Evidence of insurance or financial responsibility.</w:t>
        <w:t xml:space="preserve"> </w:t>
      </w:r>
      <w:r>
        <w:t xml:space="preserve"> </w:t>
      </w:r>
      <w:r>
        <w:t xml:space="preserve">When a law enforcement officer stops an operator for a moving violation or the operator is involved in an accident that must be reported under </w:t>
      </w:r>
      <w:r>
        <w:t>section 2251</w:t>
      </w:r>
      <w:r>
        <w:t xml:space="preserve">, the officer shall request the operator to produce evidence of liability insurance or financial responsibility.  Evidence of liability insurance or financial responsibility may be in electronic form, including the display of an image on a portable electronic device.  The use of a portable electronic device to provide evidence of liability insurance or financial responsibility in electronic form does not constitute consent for a law enforcement officer to access other contents of the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§5 (AMD).]</w:t>
      </w:r>
    </w:p>
    <w:p>
      <w:pPr>
        <w:jc w:val="both"/>
        <w:spacing w:before="100" w:after="0"/>
        <w:ind w:start="360"/>
        <w:ind w:firstLine="360"/>
      </w:pPr>
      <w:r>
        <w:rPr>
          <w:b/>
        </w:rPr>
        <w:t>3</w:t>
        <w:t xml:space="preserve">.  </w:t>
      </w:r>
      <w:r>
        <w:rPr>
          <w:b/>
        </w:rPr>
        <w:t xml:space="preserve">Failure to produce evidence of insurance.</w:t>
        <w:t xml:space="preserve"> </w:t>
      </w:r>
      <w:r>
        <w:t xml:space="preserve"> </w:t>
      </w:r>
      <w:r>
        <w:t xml:space="preserve">If a person fails to produce evidence of liability insurance or financial responsibility, this failure is prima facie evidence that the person is uninsured and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Insurance in effect.</w:t>
        <w:t xml:space="preserve"> </w:t>
      </w:r>
      <w:r>
        <w:t xml:space="preserve"> </w:t>
      </w:r>
      <w:r>
        <w:t xml:space="preserve">A person violates this section if that person produces evidence of liability insurance or financial responsibility that is not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§1 (NEW).]</w:t>
      </w:r>
    </w:p>
    <w:p>
      <w:pPr>
        <w:jc w:val="both"/>
        <w:spacing w:before="100" w:after="0"/>
        <w:ind w:start="360"/>
        <w:ind w:firstLine="360"/>
      </w:pPr>
      <w:r>
        <w:rPr>
          <w:b/>
        </w:rPr>
        <w:t>4</w:t>
        <w:t xml:space="preserve">.  </w:t>
      </w:r>
      <w:r>
        <w:rPr>
          <w:b/>
        </w:rPr>
        <w:t xml:space="preserve">Dismissal.</w:t>
        <w:t xml:space="preserve"> </w:t>
      </w:r>
      <w:r>
        <w:t xml:space="preserve"> </w:t>
      </w:r>
      <w:r>
        <w:t xml:space="preserve">A person served with a Violations Summons and Complaint charging a violation of this section may have the complaint dismissed if that person shows satisfactory evidence of liability insurance or financial responsibility that was in effect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satisfactory evidence of liability insurance or financial responsibility that was in effect at the time of the alleged violation.  If a person files a timely answer to a Violations Summons and Complaint alleging a violation of this section and that person presents to the court at the time of trial satisfactory evidence of liability insurance or financial responsibility that was in effect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§11 (AMD); PL 1999, c. 771, Pt. D, §§1, 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traffic infraction, for which a forfeiture of not less than $100 and not more than $500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Suspension.</w:t>
        <w:t xml:space="preserve"> </w:t>
      </w:r>
      <w:r>
        <w:t xml:space="preserve"> </w:t>
      </w:r>
      <w:r>
        <w:t xml:space="preserve">Thirty days after the receipt of an abstract of an adjudication of a violation of this section, the Secretary of State shall suspend:</w:t>
      </w:r>
    </w:p>
    <w:p>
      <w:pPr>
        <w:jc w:val="both"/>
        <w:spacing w:before="100" w:after="0"/>
        <w:ind w:start="720"/>
      </w:pPr>
      <w:r>
        <w:rPr/>
        <w:t>A</w:t>
        <w:t xml:space="preserve">.  </w:t>
      </w:r>
      <w:r>
        <w:rPr/>
      </w:r>
      <w:r>
        <w:t xml:space="preserve">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suspension continues until that person provides proof of financial responsibility to the Secretary of State pursuant to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§1 (AMD); PL 1997, c. 176, §1 (AMD).]</w:t>
      </w:r>
    </w:p>
    <w:p>
      <w:pPr>
        <w:jc w:val="both"/>
        <w:spacing w:before="100" w:after="0"/>
        <w:ind w:start="360"/>
        <w:ind w:firstLine="360"/>
      </w:pPr>
      <w:r>
        <w:rPr>
          <w:b/>
        </w:rPr>
        <w:t>7</w:t>
        <w:t xml:space="preserve">.  </w:t>
      </w:r>
      <w:r>
        <w:rPr>
          <w:b/>
        </w:rPr>
        <w:t xml:space="preserve">Multiple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§2 (RP); PL 1997, c. 176, §2 (RP).]</w:t>
      </w:r>
    </w:p>
    <w:p>
      <w:pPr>
        <w:jc w:val="both"/>
        <w:spacing w:before="100" w:after="0"/>
        <w:ind w:start="360"/>
        <w:ind w:firstLine="360"/>
      </w:pPr>
      <w:r>
        <w:rPr>
          <w:b/>
        </w:rPr>
        <w:t>7-A</w:t>
        <w:t xml:space="preserve">.  </w:t>
      </w:r>
      <w:r>
        <w:rPr>
          <w:b/>
        </w:rPr>
        <w:t xml:space="preserve">Proof of financial responsibility following violation.</w:t>
        <w:t xml:space="preserve"> </w:t>
      </w:r>
      <w:r>
        <w:t xml:space="preserve"> </w:t>
      </w:r>
      <w:r>
        <w:t xml:space="preserve">A person who violates this section is subject to the proof of financial responsibility requirements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§18 (RPR).]</w:t>
      </w:r>
    </w:p>
    <w:p>
      <w:pPr>
        <w:jc w:val="both"/>
        <w:spacing w:before="100" w:after="0"/>
        <w:ind w:start="360"/>
        <w:ind w:firstLine="360"/>
      </w:pPr>
      <w:r>
        <w:rPr>
          <w:b/>
        </w:rPr>
        <w:t>8</w:t>
        <w:t xml:space="preserve">.  </w:t>
      </w:r>
      <w:r>
        <w:rPr>
          <w:b/>
        </w:rPr>
        <w:t xml:space="preserve">Agent immunity from liability.</w:t>
        <w:t xml:space="preserve"> </w:t>
      </w:r>
      <w:r>
        <w:t xml:space="preserve"> </w:t>
      </w:r>
      <w:r>
        <w:t xml:space="preserve">An insurance agent, broker or agency may not be held liable for an inaccurate insurance identification card if the card was issued based on information contained in the records of that person or was issued based on false or misleading statements made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Exemption.</w:t>
        <w:t xml:space="preserve"> </w:t>
      </w:r>
      <w:r>
        <w:t xml:space="preserve"> </w:t>
      </w:r>
      <w:r>
        <w:t xml:space="preserve">The provisions of this section do not apply to:</w:t>
      </w:r>
    </w:p>
    <w:p>
      <w:pPr>
        <w:jc w:val="both"/>
        <w:spacing w:before="100" w:after="0"/>
        <w:ind w:start="720"/>
      </w:pPr>
      <w:r>
        <w:rPr/>
        <w:t>A</w:t>
        <w:t xml:space="preserve">.  </w:t>
      </w:r>
      <w:r>
        <w:rPr/>
      </w:r>
      <w:r>
        <w:t xml:space="preserve">A governmental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owned or controlled by a dealer as defined by </w:t>
      </w:r>
      <w:r>
        <w:t>chapter 9, subchapter 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registered as a vehicle for hire.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Excluded persons.</w:t>
        <w:t xml:space="preserve"> </w:t>
      </w:r>
      <w:r>
        <w:t xml:space="preserve"> </w:t>
      </w:r>
      <w:r>
        <w:t xml:space="preserve">Beginning January 1, 2022, if a person is explicitly excluded by endorsement from coverage on a policy that constitutes proof of financial responsibility under this chapter, the evidence of insurance or financial responsibility under </w:t>
      </w:r>
      <w:r>
        <w:t>subsection 2</w:t>
      </w:r>
      <w:r>
        <w:t xml:space="preserve"> must list the person as a person excluded by the policy.  The requirements of this subsection do not apply to a policy that constitutes proof of financial responsibility under this chapter underwritten on a commercial policy form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§§1-3 (AMD). PL 1997, c. 176, §§1-3 (AMD). PL 1997, c. 178, §1 (AMD). PL 1997, c. 683, §A18 (AMD). PL 1999, c. 470, §25 (AMD). PL 1999, c. 771, §C11 (AMD). PL 1999, c. 771, §§D1,2 (AFF). PL 2013, c. 72, §5 (AMD). PL 2021, c. 200,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§1601. Required maintenance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Required maintenance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§1601. REQUIRED MAINTENANCE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