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Traffic infraction</w:t>
      </w:r>
    </w:p>
    <w:p>
      <w:pPr>
        <w:jc w:val="both"/>
        <w:spacing w:before="100" w:after="0"/>
        <w:ind w:start="360"/>
        <w:ind w:firstLine="360"/>
      </w:pPr>
      <w:r>
        <w:rPr>
          <w:b/>
        </w:rPr>
        <w:t>1</w:t>
        <w:t xml:space="preserve">.  </w:t>
      </w:r>
      <w:r>
        <w:rPr>
          <w:b/>
        </w:rPr>
        <w:t xml:space="preserve">Traffic infraction.</w:t>
        <w:t xml:space="preserve"> </w:t>
      </w:r>
      <w:r>
        <w:t xml:space="preserve"> </w:t>
      </w:r>
      <w:r>
        <w:t xml:space="preserve">A traffic infraction is not a crime.  The penalty for a traffic infraction may not be deemed for any purpose a penal or criminal punishment.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Jury trial.</w:t>
        <w:t xml:space="preserve"> </w:t>
      </w:r>
      <w:r>
        <w:t xml:space="preserve"> </w:t>
      </w:r>
      <w:r>
        <w:t xml:space="preserve">There is no right to trial by jury for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Exclusive penalty.</w:t>
        <w:t xml:space="preserve"> </w:t>
      </w:r>
      <w:r>
        <w:t xml:space="preserve"> </w:t>
      </w:r>
      <w:r>
        <w:t xml:space="preserve">The exclusive penalty for a traffic infraction is a fine of not less than $25 nor more than $500, unless specifically authorized, or suspension of a license,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B, §2 (AMD).]</w:t>
      </w:r>
    </w:p>
    <w:p>
      <w:pPr>
        <w:jc w:val="both"/>
        <w:spacing w:before="100" w:after="0"/>
        <w:ind w:start="360"/>
        <w:ind w:firstLine="360"/>
      </w:pPr>
      <w:r>
        <w:rPr>
          <w:b/>
        </w:rPr>
        <w:t>4</w:t>
        <w:t xml:space="preserve">.  </w:t>
      </w:r>
      <w:r>
        <w:rPr>
          <w:b/>
        </w:rPr>
        <w:t xml:space="preserve">Standard of proof.</w:t>
        <w:t xml:space="preserve"> </w:t>
      </w:r>
      <w:r>
        <w:t xml:space="preserve"> </w:t>
      </w:r>
      <w:r>
        <w:t xml:space="preserve">The burden of proof that a traffic infraction has occurred is on the State and must be established by a standard of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§B2 (AMD). PL 2011, c. 156,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§103. Traffic infraction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Traffic infraction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§103. TRAFFIC INFRACTION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