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LICENSES GENERALLY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RESTRICTIONS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jc w:val="center"/>
        <w:ind w:start="360"/>
        <w:spacing w:before="300" w:after="300"/>
      </w:pPr>
      <w:r>
        <w:rPr>
          <w:b/>
        </w:rPr>
        <w:t>SUBCHAPTER</w:t>
        <w:t xml:space="preserve"> </w:t>
        <w:t>5</w:t>
      </w:r>
    </w:p>
    <w:p>
      <w:pPr>
        <w:jc w:val="center"/>
        <w:ind w:start="360"/>
        <w:spacing w:before="300" w:after="300"/>
      </w:pPr>
      <w:r>
        <w:rPr>
          <w:b/>
        </w:rPr>
        <w:t xml:space="preserve">REVOCATION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9.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