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ENFORCEMENT AND JURISDICTION</w:t>
      </w:r>
    </w:p>
    <w:p>
      <w:pPr>
        <w:jc w:val="center"/>
        <w:ind w:start="360"/>
        <w:spacing w:before="300" w:after="300"/>
      </w:pPr>
      <w:r>
        <w:rPr>
          <w:b/>
        </w:rPr>
        <w:t>SUBCHAPTER</w:t>
        <w:t xml:space="preserve"> </w:t>
        <w:t>1</w:t>
      </w:r>
    </w:p>
    <w:p>
      <w:pPr>
        <w:jc w:val="center"/>
        <w:ind w:start="360"/>
        <w:spacing w:before="300" w:after="300"/>
      </w:pPr>
      <w:r>
        <w:rPr>
          <w:b/>
        </w:rPr>
        <w:t xml:space="preserve">GENERAL</w:t>
      </w:r>
    </w:p>
    <w:p>
      <w:pPr>
        <w:jc w:val="both"/>
        <w:spacing w:before="100" w:after="100"/>
        <w:ind w:start="1080" w:hanging="720"/>
      </w:pPr>
      <w:r>
        <w:rPr>
          <w:b/>
        </w:rPr>
        <w:t>§</w:t>
        <w:t>2201</w:t>
        <w:t xml:space="preserve">.  </w:t>
      </w:r>
      <w:r>
        <w:rPr>
          <w:b/>
        </w:rPr>
        <w:t xml:space="preserve">Jurisdiction of courts</w:t>
      </w:r>
    </w:p>
    <w:p>
      <w:pPr>
        <w:jc w:val="both"/>
        <w:spacing w:before="100" w:after="100"/>
        <w:ind w:start="360"/>
        <w:ind w:firstLine="360"/>
      </w:pPr>
      <w:r>
        <w:rPr/>
      </w:r>
      <w:r>
        <w:rPr/>
      </w:r>
      <w:r>
        <w:t xml:space="preserve">In prosecutions under this Title, except when otherwise expressly provided, the District Court shall have, by complaint, jurisdiction concurrent with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2202</w:t>
        <w:t xml:space="preserve">.  </w:t>
      </w:r>
      <w:r>
        <w:rPr>
          <w:b/>
        </w:rPr>
        <w:t xml:space="preserve">Bail after failure to comply with terms of bond</w:t>
      </w:r>
    </w:p>
    <w:p>
      <w:pPr>
        <w:jc w:val="both"/>
        <w:spacing w:before="100" w:after="100"/>
        <w:ind w:start="360"/>
        <w:ind w:firstLine="360"/>
      </w:pPr>
      <w:r>
        <w:rPr/>
      </w:r>
      <w:r>
        <w:rPr/>
      </w:r>
      <w:r>
        <w:t xml:space="preserve">In any prosecution for violation of the laws relating to manufacture or sale of liquor, a defendant who has failed to comply with the term of any bond entered into by the defendant in that case may not again be admitted to bail in that case or upon arrest on any warrant issued in that case, except by a judge or justice of the court in which that prosecution is pending.</w:t>
      </w:r>
      <w:r>
        <w:t xml:space="preserve">  </w:t>
      </w:r>
      <w:r xmlns:wp="http://schemas.openxmlformats.org/drawingml/2010/wordprocessingDrawing" xmlns:w15="http://schemas.microsoft.com/office/word/2012/wordml">
        <w:rPr>
          <w:rFonts w:ascii="Arial" w:hAnsi="Arial" w:cs="Arial"/>
          <w:sz w:val="22"/>
          <w:szCs w:val="22"/>
        </w:rPr>
        <w:t xml:space="preserve">[PL 2021, c. 658, §278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§160 (AMD). PL 2021, c. 658, §278 (AMD). </w:t>
      </w:r>
    </w:p>
    <w:p>
      <w:pPr>
        <w:jc w:val="both"/>
        <w:spacing w:before="100" w:after="100"/>
        <w:ind w:start="1080" w:hanging="720"/>
      </w:pPr>
      <w:r>
        <w:rPr>
          <w:b/>
        </w:rPr>
        <w:t>§</w:t>
        <w:t>2203</w:t>
        <w:t xml:space="preserve">.  </w:t>
      </w:r>
      <w:r>
        <w:rPr>
          <w:b/>
        </w:rPr>
        <w:t xml:space="preserve">Evidence of illegal sale; allegation of prior conviction</w:t>
      </w:r>
    </w:p>
    <w:p>
      <w:pPr>
        <w:jc w:val="both"/>
        <w:spacing w:before="100" w:after="0"/>
        <w:ind w:start="360"/>
        <w:ind w:firstLine="360"/>
      </w:pPr>
      <w:r>
        <w:rPr>
          <w:b/>
        </w:rPr>
        <w:t>1</w:t>
        <w:t xml:space="preserve">.  </w:t>
      </w:r>
      <w:r>
        <w:rPr>
          <w:b/>
        </w:rPr>
        <w:t xml:space="preserve">Evidence of illegal sale.</w:t>
        <w:t xml:space="preserve"> </w:t>
      </w:r>
      <w:r>
        <w:t xml:space="preserve"> </w:t>
      </w:r>
      <w:r>
        <w:t xml:space="preserve">Whenever an illegal sale is alleged and a delivery proved, the delivery is sufficient evidence of sale and it is not necessary to prove a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342, §125 (RPR).]</w:t>
      </w:r>
    </w:p>
    <w:p>
      <w:pPr>
        <w:jc w:val="both"/>
        <w:spacing w:before="100" w:after="0"/>
        <w:ind w:start="360"/>
        <w:ind w:firstLine="360"/>
      </w:pPr>
      <w:r>
        <w:rPr>
          <w:b/>
        </w:rPr>
        <w:t>2</w:t>
        <w:t xml:space="preserve">.  </w:t>
      </w:r>
      <w:r>
        <w:rPr>
          <w:b/>
        </w:rPr>
        <w:t xml:space="preserve">Former conviction.</w:t>
        <w:t xml:space="preserve"> </w:t>
      </w:r>
      <w:r>
        <w:t xml:space="preserve"> </w:t>
      </w:r>
      <w:r>
        <w:t xml:space="preserve">In actions, complaints, indictments or other proceedings for a violation of this Title, other than for a first offense, it is not necessary to set forth particularly the record of a former conviction, but it is sufficient to allege briefly that the person has been convicted of a violation of a particular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(RPR).]</w:t>
      </w:r>
    </w:p>
    <w:p>
      <w:pPr>
        <w:jc w:val="both"/>
        <w:spacing w:before="100" w:after="100"/>
        <w:ind w:start="360"/>
        <w:ind w:firstLine="360"/>
      </w:pPr>
      <w:r>
        <w:rPr>
          <w:b/>
        </w:rPr>
        <w:t>3</w:t>
        <w:t xml:space="preserve">.  </w:t>
      </w:r>
      <w:r>
        <w:rPr>
          <w:b/>
        </w:rPr>
        <w:t xml:space="preserve">Prosecution of bond when municipality interested.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4</w:t>
        <w:t xml:space="preserve">.  </w:t>
      </w:r>
      <w:r>
        <w:rPr>
          <w:b/>
        </w:rPr>
        <w:t xml:space="preserve">Enforcement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5</w:t>
        <w:t xml:space="preserve">.  </w:t>
      </w:r>
      <w:r>
        <w:rPr>
          <w:b/>
        </w:rPr>
        <w:t xml:space="preserve">Former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6</w:t>
        <w:t xml:space="preserve">.  </w:t>
      </w:r>
      <w:r>
        <w:rPr>
          <w:b/>
        </w:rPr>
        <w:t xml:space="preserve">Amendment of allegation and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§125 (RPR). PL 2021, c. 658, §279 (AMD). </w:t>
      </w:r>
    </w:p>
    <w:p>
      <w:pPr>
        <w:jc w:val="both"/>
        <w:spacing w:before="100" w:after="100"/>
        <w:ind w:start="1080" w:hanging="720"/>
      </w:pPr>
      <w:r>
        <w:rPr>
          <w:b/>
        </w:rPr>
        <w:t>§</w:t>
        <w:t>2204</w:t>
        <w:t xml:space="preserve">.  </w:t>
      </w:r>
      <w:r>
        <w:rPr>
          <w:b/>
        </w:rPr>
        <w:t xml:space="preserve">Persons in illegal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both"/>
        <w:spacing w:before="100" w:after="100"/>
        <w:ind w:start="1080" w:hanging="720"/>
      </w:pPr>
      <w:r>
        <w:rPr>
          <w:b/>
        </w:rPr>
        <w:t>§</w:t>
        <w:t>2211</w:t>
        <w:t xml:space="preserve">.  </w:t>
      </w:r>
      <w:r>
        <w:rPr>
          <w:b/>
        </w:rPr>
        <w:t xml:space="preserve">Power of law enforcement officers to stop vehicles; restrictions</w:t>
      </w:r>
    </w:p>
    <w:p>
      <w:pPr>
        <w:jc w:val="both"/>
        <w:spacing w:before="100" w:after="100"/>
        <w:ind w:start="360"/>
        <w:ind w:firstLine="360"/>
      </w:pPr>
      <w:r>
        <w:rPr/>
      </w:r>
      <w:r>
        <w:rPr/>
      </w:r>
      <w:r>
        <w:t xml:space="preserve">If a law enforcement officer has probable cause to believe that a violation of the liquor laws has taken or is taking place, the officer may, at any time, stop any motor vehicle or other conveyance to arrest or question its operator or occupant or to search the motor vehicle or conveyance.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2212</w:t>
        <w:t xml:space="preserve">.  </w:t>
      </w:r>
      <w:r>
        <w:rPr>
          <w:b/>
        </w:rPr>
        <w:t xml:space="preserve">State liquor enforcement officers'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644, §1 (AMD). PL 1995, c. 65, §A82 (AMD). PL 1995, c. 65, §§A153,C15 (AFF). PL 1999, c. 29, §1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both"/>
        <w:spacing w:before="100" w:after="100"/>
        <w:ind w:start="1080" w:hanging="720"/>
      </w:pPr>
      <w:r>
        <w:rPr>
          <w:b/>
        </w:rPr>
        <w:t>§</w:t>
        <w:t>2221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§127 (RP). </w:t>
      </w:r>
    </w:p>
    <w:p>
      <w:pPr>
        <w:jc w:val="both"/>
        <w:spacing w:before="100" w:after="100"/>
        <w:ind w:start="1080" w:hanging="720"/>
      </w:pPr>
      <w:r>
        <w:rPr>
          <w:b/>
        </w:rPr>
        <w:t>§</w:t>
        <w:t>2221-A</w:t>
        <w:t xml:space="preserve">.  </w:t>
      </w:r>
      <w:r>
        <w:rPr>
          <w:b/>
        </w:rPr>
        <w:t xml:space="preserve">Forfeiture of liquor and property used in illegal manufacture, transportation and sale of liquor</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in the property shall be in the State:</w:t>
      </w:r>
    </w:p>
    <w:p>
      <w:pPr>
        <w:jc w:val="both"/>
        <w:spacing w:before="100" w:after="0"/>
        <w:ind w:start="720"/>
      </w:pPr>
      <w:r>
        <w:rPr/>
        <w:t>A</w:t>
        <w:t xml:space="preserve">.  </w:t>
      </w:r>
      <w:r>
        <w:rPr/>
      </w:r>
      <w:r>
        <w:t xml:space="preserve">All materials, products and equipment of any kind which are used, or intended for use, in manufacturing, transporting or selling liquor in violation of this Title; and</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All conveyances, including aircraft, watercraft, vehicles and vessels, which are used, or are intended for use, to transport, conceal or otherwise to facilitate the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under </w:t>
      </w:r>
      <w:r>
        <w:t>subsection 1, paragraph A</w:t>
      </w:r>
      <w:r>
        <w:t xml:space="preserve">, shall be declared forfeited by any court having jurisdiction over the property or having final jurisdiction over any related criminal proceeding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shall order forfeiture of all conveyances subject to forfeiture under </w:t>
      </w:r>
      <w:r>
        <w:t>subsection 1, paragraph B</w:t>
      </w:r>
      <w:r>
        <w:t xml:space="preserve">, except as follows.</w:t>
      </w:r>
    </w:p>
    <w:p>
      <w:pPr>
        <w:jc w:val="both"/>
        <w:spacing w:before="100" w:after="0"/>
        <w:ind w:start="720"/>
      </w:pPr>
      <w:r>
        <w:rPr/>
        <w:t>A</w:t>
        <w:t xml:space="preserve">.  </w:t>
      </w:r>
      <w:r>
        <w:rPr/>
      </w:r>
      <w:r>
        <w:t xml:space="preserve">No conveyance used by any person as a for-hire carrier in the transaction of business as a for-hire carrier shall be forfeited unless it appears that the owner or other person in charge of the conveyance was a consenting party or privy to a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No conveyance shall be forfeited by reason of any act or omission established by the owner of the conveyance to have been committed or omitted by any person other than the owner while the conveyance was illegally in the possession of a person other than the owner in violation of the criminal laws of the United States, the State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No conveyance shall be subject to forfeiture unless the owner knew or should have known that the conveyance was used in and for the illegal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4</w:t>
        <w:t xml:space="preserve">.  </w:t>
      </w:r>
      <w:r>
        <w:rPr>
          <w:b/>
        </w:rPr>
        <w:t xml:space="preserve">Forfeiture procedure.</w:t>
        <w:t xml:space="preserve"> </w:t>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property subject to forfeiture under </w:t>
      </w:r>
      <w:r>
        <w:t>subsection 1, paragraph B</w:t>
      </w:r>
      <w:r>
        <w:t xml:space="preserve">.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proceeding shall be deemed a civil suit, in which the State shall have the burden of proving all material facts by a preponderance of the evidence. The owner of the property, or other person claiming under the owner, shall have the burden of proving all the exceptions set forth in </w:t>
      </w:r>
      <w:r>
        <w:t>subsection 3</w:t>
      </w:r>
      <w:r>
        <w:t xml:space="preserv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The court shall order the State to give notice by certified or registered mail or hand delivered by a deputy sheriff to the owner of the property and to any other person who appears to have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court shall hold a hearing on the petition.  The hearing may be advanced on the docket and receive priority over other cases when the court determines that the interests of justice so require.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§33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shall provide for disposition of the property by the State or any subdivision of the State in any manner not prohibited by law, including official use by an authorized law enforcement or other public agency, sale at public auction or by competitive bidding.</w:t>
      </w:r>
    </w:p>
    <w:p>
      <w:pPr>
        <w:jc w:val="both"/>
        <w:spacing w:before="100" w:after="0"/>
        <w:ind w:start="1080"/>
      </w:pPr>
      <w:r>
        <w:rPr/>
        <w:t>(</w:t>
        <w:t>1</w:t>
        <w:t xml:space="preserve">)  </w:t>
      </w:r>
      <w:r>
        <w:rPr/>
      </w:r>
      <w:r>
        <w:t xml:space="preserve">The proceeds of any sale shall be used to pay the reasonable expenses of the forfeiture proceedings, seizure, storage, maintenance of custody, advertising and notice and to pay any bona fide mortgage on the property. The balance, if any, shall be deposited in the State Treasury, or the treasury of the county or municipality making the seizure.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§33 (AMD).]</w:t>
      </w:r>
    </w:p>
    <w:p>
      <w:pPr>
        <w:jc w:val="both"/>
        <w:spacing w:before="100" w:after="100"/>
        <w:ind w:start="360"/>
        <w:ind w:firstLine="360"/>
      </w:pPr>
      <w:r>
        <w:rPr>
          <w:b/>
        </w:rPr>
        <w:t>5</w:t>
        <w:t xml:space="preserve">.  </w:t>
      </w:r>
      <w:r>
        <w:rPr>
          <w:b/>
        </w:rPr>
        <w:t xml:space="preserve">Records.</w:t>
        <w:t xml:space="preserve"> </w:t>
      </w:r>
      <w:r>
        <w:t xml:space="preserve"> </w:t>
      </w:r>
      <w:r>
        <w:t xml:space="preserve">Any officer, department or agency having custody of property subject to forfeiture under </w:t>
      </w:r>
      <w:r>
        <w:t>subsection 1</w:t>
      </w:r>
      <w:r>
        <w:t xml:space="preserve">, or having disposed of the property, shall keep and maintain full and complete records concerning the property.</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it received the property;</w:t>
      </w:r>
    </w:p>
    <w:p>
      <w:pPr>
        <w:jc w:val="both"/>
        <w:spacing w:before="100" w:after="0"/>
        <w:ind w:start="1080"/>
      </w:pPr>
      <w:r>
        <w:rPr/>
        <w:t>(</w:t>
        <w:t>2</w:t>
        <w:t xml:space="preserve">)  </w:t>
      </w:r>
      <w:r>
        <w:rPr/>
      </w:r>
      <w:r>
        <w:t xml:space="preserve">Under what authority it held, received or disposed of the property;</w:t>
      </w:r>
    </w:p>
    <w:p>
      <w:pPr>
        <w:jc w:val="both"/>
        <w:spacing w:before="100" w:after="0"/>
        <w:ind w:start="1080"/>
      </w:pPr>
      <w:r>
        <w:rPr/>
        <w:t>(</w:t>
        <w:t>3</w:t>
        <w:t xml:space="preserve">)  </w:t>
      </w:r>
      <w:r>
        <w:rPr/>
      </w:r>
      <w:r>
        <w:t xml:space="preserve">To whom it delivered the property;</w:t>
      </w:r>
    </w:p>
    <w:p>
      <w:pPr>
        <w:jc w:val="both"/>
        <w:spacing w:before="100" w:after="0"/>
        <w:ind w:start="1080"/>
      </w:pPr>
      <w:r>
        <w:rPr/>
        <w:t>(</w:t>
        <w:t>4</w:t>
        <w:t xml:space="preserve">)  </w:t>
      </w:r>
      <w:r>
        <w:rPr/>
      </w:r>
      <w:r>
        <w:t xml:space="preserve">The date and manner of destruction or disposition of the property; and</w:t>
      </w:r>
    </w:p>
    <w:p>
      <w:pPr>
        <w:jc w:val="both"/>
        <w:spacing w:before="100" w:after="0"/>
        <w:ind w:start="1080"/>
      </w:pPr>
      <w:r>
        <w:rPr/>
        <w:t>(</w:t>
        <w:t>5</w:t>
        <w:t xml:space="preserve">)  </w:t>
      </w:r>
      <w:r>
        <w:rPr/>
      </w:r>
      <w:r>
        <w:t xml:space="preserve">The exact kinds, quantities and forms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records shall be open to inspection by all federal and state officers charged with enforcement of federal and state liquor laws.</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Persons making final disposition or destruction of the property under court order shall report, under oath, to the court the exact circumstances of the destruction or disposition.</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bureau shall maintain a centralized record of property seized, held by an order to the bureau. If requested, the bureau shall provide a report of the disposition of property previously held by the bureau as required by this section to any governmental entity to the commissioner or to the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2013, c. 368, Pt. V,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§36 (AMD).]</w:t>
      </w:r>
    </w:p>
    <w:p>
      <w:pPr>
        <w:jc w:val="both"/>
        <w:spacing w:before="100" w:after="100"/>
        <w:ind w:start="360"/>
        <w:ind w:firstLine="360"/>
      </w:pPr>
      <w:r>
        <w:rPr>
          <w:b/>
        </w:rPr>
        <w:t>6</w:t>
        <w:t xml:space="preserve">.  </w:t>
      </w:r>
      <w:r>
        <w:rPr>
          <w:b/>
        </w:rPr>
        <w:t xml:space="preserve">Preliminary order.</w:t>
        <w:t xml:space="preserve"> </w:t>
      </w:r>
      <w:r>
        <w:t xml:space="preserve"> </w:t>
      </w:r>
      <w:r>
        <w:t xml:space="preserve">At the request of the State ex parte, the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shall issue only upon a showing of probable cause. The application for process for seizure of the property and the issuance, execution and return of the process shall be subject to the provisions of applicable Maine law.</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Any property subject to forfeiture under this section may be seized upon process, except that seizure without process may be made when:</w:t>
      </w:r>
    </w:p>
    <w:p>
      <w:pPr>
        <w:jc w:val="both"/>
        <w:spacing w:before="100" w:after="0"/>
        <w:ind w:start="1080"/>
      </w:pPr>
      <w:r>
        <w:rPr/>
        <w:t>(</w:t>
        <w:t>1</w:t>
        <w:t xml:space="preserve">)  </w:t>
      </w:r>
      <w:r>
        <w:rPr/>
      </w:r>
      <w:r>
        <w:t xml:space="preserve">The seizure is incident to:</w:t>
      </w:r>
    </w:p>
    <w:p>
      <w:pPr>
        <w:jc w:val="both"/>
        <w:spacing w:before="100" w:after="0"/>
        <w:ind w:start="1440"/>
      </w:pPr>
      <w:r>
        <w:rPr/>
        <w:t>(</w:t>
        <w:t>a</w:t>
        <w:t xml:space="preserve">)  </w:t>
      </w:r>
      <w:r>
        <w:rPr/>
      </w:r>
      <w:r>
        <w:t xml:space="preserve">An arrest with probable cause;</w:t>
      </w:r>
    </w:p>
    <w:p>
      <w:pPr>
        <w:jc w:val="both"/>
        <w:spacing w:before="100" w:after="0"/>
        <w:ind w:start="1440"/>
      </w:pPr>
      <w:r>
        <w:rPr/>
        <w:t>(</w:t>
        <w:t>b</w:t>
        <w:t xml:space="preserve">)  </w:t>
      </w:r>
      <w:r>
        <w:rPr/>
      </w:r>
      <w:r>
        <w:t xml:space="preserve">A search under a valid search warrant; or</w:t>
      </w:r>
    </w:p>
    <w:p>
      <w:pPr>
        <w:jc w:val="both"/>
        <w:spacing w:before="100" w:after="0"/>
        <w:ind w:start="1440"/>
      </w:pPr>
      <w:r>
        <w:rPr/>
        <w:t>(</w:t>
        <w:t>c</w:t>
        <w:t xml:space="preserve">)  </w:t>
      </w:r>
      <w:r>
        <w:rPr/>
      </w:r>
      <w:r>
        <w:t xml:space="preserve">An inspection under a valid administrative inspection warrant;</w:t>
      </w:r>
    </w:p>
    <w:p>
      <w:pPr>
        <w:jc w:val="both"/>
        <w:spacing w:before="100" w:after="0"/>
        <w:ind w:start="1080"/>
      </w:pPr>
      <w:r>
        <w:rPr/>
        <w:t>(</w:t>
        <w:t>2</w:t>
        <w:t xml:space="preserve">)  </w:t>
      </w:r>
      <w:r>
        <w:rPr/>
      </w:r>
      <w:r>
        <w:t xml:space="preserve">The property subject to seizure has been the subject of a prior judgment in favor of the State in a forfeiture proceeding under this section;</w:t>
      </w:r>
    </w:p>
    <w:p>
      <w:pPr>
        <w:jc w:val="both"/>
        <w:spacing w:before="100" w:after="0"/>
        <w:ind w:start="1080"/>
      </w:pPr>
      <w:r>
        <w:rPr/>
        <w:t>(</w:t>
        <w:t>3</w:t>
        <w:t xml:space="preserve">)  </w:t>
      </w:r>
      <w:r>
        <w:rPr/>
      </w:r>
      <w:r>
        <w:t xml:space="preserve">There is probable cause to believe that the property is directly or indirectly dangerous to health or safety; or</w:t>
      </w:r>
    </w:p>
    <w:p>
      <w:pPr>
        <w:jc w:val="both"/>
        <w:spacing w:before="100" w:after="0"/>
        <w:ind w:start="1080"/>
      </w:pPr>
      <w:r>
        <w:rPr/>
        <w:t>(</w:t>
        <w:t>4</w:t>
        <w:t xml:space="preserve">)  </w:t>
      </w:r>
      <w:r>
        <w:rPr/>
      </w:r>
      <w:r>
        <w:t xml:space="preserve">There is probable cause to believe the property has been used or is intended to be used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 PL 1997, c. 373, §161 (AMD). PL 2011, c. 559, Pt. A, §33 (AMD). PL 2013, c. 368, Pt. V, §53 (AMD). PL 2013, c. 588, Pt. A, §36 (AMD). </w:t>
      </w:r>
    </w:p>
    <w:p>
      <w:pPr>
        <w:jc w:val="both"/>
        <w:spacing w:before="100" w:after="100"/>
        <w:ind w:start="1080" w:hanging="720"/>
      </w:pPr>
      <w:r>
        <w:rPr>
          <w:b/>
        </w:rPr>
        <w:t>§</w:t>
        <w:t>2222</w:t>
        <w:t xml:space="preserve">.  </w:t>
      </w:r>
      <w:r>
        <w:rPr>
          <w:b/>
        </w:rPr>
        <w:t xml:space="preserve">Claim of owner that illegal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§129 (RP). </w:t>
      </w:r>
    </w:p>
    <w:p>
      <w:pPr>
        <w:jc w:val="both"/>
        <w:spacing w:before="100" w:after="100"/>
        <w:ind w:start="1080" w:hanging="720"/>
      </w:pPr>
      <w:r>
        <w:rPr>
          <w:b/>
        </w:rPr>
        <w:t>§</w:t>
        <w:t>2223</w:t>
        <w:t xml:space="preserve">.  </w:t>
      </w:r>
      <w:r>
        <w:rPr>
          <w:b/>
        </w:rPr>
        <w:t xml:space="preserve">Dumping of evidence; prima facie evidence</w:t>
      </w:r>
    </w:p>
    <w:p>
      <w:pPr>
        <w:jc w:val="both"/>
        <w:spacing w:before="100" w:after="0"/>
        <w:ind w:start="360"/>
        <w:ind w:firstLine="360"/>
      </w:pPr>
      <w:r>
        <w:rPr>
          <w:b/>
        </w:rPr>
        <w:t>1</w:t>
        <w:t xml:space="preserve">.  </w:t>
      </w:r>
      <w:r>
        <w:rPr>
          <w:b/>
        </w:rPr>
        <w:t xml:space="preserve">Destruction of liquor is prima facie evidence that liquor was intended for illegal sale.</w:t>
        <w:t xml:space="preserve"> </w:t>
      </w:r>
      <w:r>
        <w:t xml:space="preserve"> </w:t>
      </w:r>
      <w:r>
        <w:t xml:space="preserve">The pouring out or other destruction of fluids by any person on or about the premises which are about to be or are being searched, for the purpose of preventing the seizure of those fluids by officers authorized to make the search and seizure, is prima facie evidence that the fluids poured out or destroyed were liquor intended for illegal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0"/>
        <w:ind w:start="360"/>
        <w:ind w:firstLine="360"/>
      </w:pPr>
      <w:r>
        <w:rPr>
          <w:b/>
        </w:rPr>
        <w:t>2</w:t>
        <w:t xml:space="preserve">.  </w:t>
      </w:r>
      <w:r>
        <w:rPr>
          <w:b/>
        </w:rPr>
        <w:t xml:space="preserve">Penalties.</w:t>
        <w:t xml:space="preserve"> </w:t>
      </w:r>
      <w:r>
        <w:t xml:space="preserve"> </w:t>
      </w:r>
      <w:r>
        <w:t xml:space="preserve">Any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100"/>
        <w:ind w:start="360"/>
        <w:ind w:firstLine="360"/>
      </w:pPr>
      <w:r>
        <w:rPr>
          <w:b/>
        </w:rPr>
        <w:t>3</w:t>
        <w:t xml:space="preserve">.  </w:t>
      </w:r>
      <w:r>
        <w:rPr>
          <w:b/>
        </w:rPr>
        <w:t xml:space="preserve">Destruction of liquor is prima facie evidence that liquor was intended for illegal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5</w:t>
        <w:t xml:space="preserve">.  </w:t>
      </w:r>
      <w:r>
        <w:rPr>
          <w:b/>
        </w:rPr>
        <w:t xml:space="preserve">Notice is prima facie evidence that person is a common seller and premises are a common nuisance.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§130 (RPR). </w:t>
      </w:r>
    </w:p>
    <w:p>
      <w:pPr>
        <w:jc w:val="both"/>
        <w:spacing w:before="100" w:after="100"/>
        <w:ind w:start="1080" w:hanging="720"/>
      </w:pPr>
      <w:r>
        <w:rPr>
          <w:b/>
        </w:rPr>
        <w:t>§</w:t>
        <w:t>2224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2225</w:t>
        <w:t xml:space="preserve">.  </w:t>
      </w:r>
      <w:r>
        <w:rPr>
          <w:b/>
        </w:rPr>
        <w:t xml:space="preserve">Warrant for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2226</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2227</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2228</w:t>
        <w:t xml:space="preserve">.  </w:t>
      </w:r>
      <w:r>
        <w:rPr>
          <w:b/>
        </w:rPr>
        <w:t xml:space="preserve">Recovery of liquor and damages upon final judgment</w:t>
      </w:r>
    </w:p>
    <w:p>
      <w:pPr>
        <w:jc w:val="both"/>
        <w:spacing w:before="100" w:after="100"/>
        <w:ind w:start="360"/>
        <w:ind w:firstLine="360"/>
      </w:pPr>
      <w:r>
        <w:rPr/>
      </w:r>
      <w:r>
        <w:rPr/>
      </w:r>
      <w:r>
        <w:t xml:space="preserve">Final judgment in proceedings under this chapter shall be in all cases a bar to any civil action for the recovery of any liquors seized or of their value, or for damages alleged to have been sustained by reason of the seizure and detention.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2229</w:t>
        <w:t xml:space="preserve">.  </w:t>
      </w:r>
      <w:r>
        <w:rPr>
          <w:b/>
        </w:rPr>
        <w:t xml:space="preserve">Disposal of forfeited liquors</w:t>
      </w:r>
    </w:p>
    <w:p>
      <w:pPr>
        <w:jc w:val="both"/>
        <w:spacing w:before="100" w:after="0"/>
        <w:ind w:start="360"/>
        <w:ind w:firstLine="360"/>
      </w:pPr>
      <w:r>
        <w:rPr>
          <w:b/>
        </w:rPr>
        <w:t>1</w:t>
        <w:t xml:space="preserve">.  </w:t>
      </w:r>
      <w:r>
        <w:rPr>
          <w:b/>
        </w:rPr>
        <w:t xml:space="preserve">Court or judge to order forfeited liquor to be turned over to the bureau.</w:t>
        <w:t xml:space="preserve"> </w:t>
      </w:r>
      <w:r>
        <w:t xml:space="preserve"> </w:t>
      </w:r>
      <w:r>
        <w:t xml:space="preserve">All spirits declared forfeited by a court under this Title must, by order of the court rendering the final judgment, be turned over to the bureau.  All malt liquor or wine declared forfeited by a court under this Title must, by order of the court rendering final judgment, be turned over to the bureau.  Liquor forfeited under this section must be disposed of in the same manner as abandoned liquor under </w:t>
      </w:r>
      <w:r>
        <w:t>section 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§162 (AMD); PL 2013, c. 368, Pt. V, §61 (REV).]</w:t>
      </w:r>
    </w:p>
    <w:p>
      <w:pPr>
        <w:jc w:val="both"/>
        <w:spacing w:before="100" w:after="100"/>
        <w:ind w:start="360"/>
        <w:ind w:firstLine="360"/>
      </w:pPr>
      <w:r>
        <w:rPr>
          <w:b/>
        </w:rPr>
        <w:t>2</w:t>
        <w:t xml:space="preserve">.  </w:t>
      </w:r>
      <w:r>
        <w:rPr>
          <w:b/>
        </w:rPr>
        <w:t xml:space="preserve">Sale or destruction of forfeited spirits by bureau. </w:t>
        <w:t xml:space="preserve"> </w:t>
      </w:r>
      <w:r>
        <w:t xml:space="preserve"> </w:t>
      </w:r>
      <w:r>
        <w:t xml:space="preserve">The bureau or the wholesale spirits provider may restock and resell forfeited spirits at agency liquor stores throughout the State or may destroy forfeited spirits by pouring the spirits upon the ground or into a public sewer.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§280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§162 (AMD). PL 2013, c. 368, Pt. V, §54 (AMD). PL 2013, c. 368, Pt. V, §61 (REV). PL 2013, c. 476, Pt. B, §5 (AMD). PL 2013, c. 476, Pt. B, §6 (AFF). PL 2021, c. 658, §280 (AMD). </w:t>
      </w:r>
    </w:p>
    <w:p>
      <w:pPr>
        <w:jc w:val="both"/>
        <w:spacing w:before="100" w:after="100"/>
        <w:ind w:start="1080" w:hanging="720"/>
      </w:pPr>
      <w:r>
        <w:rPr>
          <w:b/>
        </w:rPr>
        <w:t>§</w:t>
        <w:t>2230</w:t>
        <w:t xml:space="preserve">.  </w:t>
      </w:r>
      <w:r>
        <w:rPr>
          <w:b/>
        </w:rPr>
        <w:t xml:space="preserve">Abandonment of liquor</w:t>
      </w:r>
    </w:p>
    <w:p>
      <w:pPr>
        <w:jc w:val="both"/>
        <w:spacing w:before="100" w:after="100"/>
        <w:ind w:start="360"/>
        <w:ind w:firstLine="360"/>
      </w:pPr>
      <w:r>
        <w:rPr/>
      </w:r>
      <w:r>
        <w:rPr/>
      </w:r>
      <w:r>
        <w:t xml:space="preserve">The following provisions govern the procedures for handling abandoned liquor.</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360"/>
        <w:ind w:firstLine="360"/>
      </w:pPr>
      <w:r>
        <w:rPr>
          <w:b/>
        </w:rPr>
        <w:t>1</w:t>
        <w:t xml:space="preserve">.  </w:t>
      </w:r>
      <w:r>
        <w:rPr>
          <w:b/>
        </w:rPr>
        <w:t xml:space="preserve">Bureau as repository.</w:t>
        <w:t xml:space="preserve"> </w:t>
      </w:r>
      <w:r>
        <w:t xml:space="preserve"> </w:t>
      </w:r>
      <w:r>
        <w:t xml:space="preserve">Notwithstanding any other provisions of law, the bureau acts as a repository for all liquor found abandoned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w:pPr>
        <w:jc w:val="both"/>
        <w:spacing w:before="100" w:after="100"/>
        <w:ind w:start="360"/>
        <w:ind w:firstLine="360"/>
      </w:pPr>
      <w:r>
        <w:rPr>
          <w:b/>
        </w:rPr>
        <w:t>2</w:t>
        <w:t xml:space="preserve">.  </w:t>
      </w:r>
      <w:r>
        <w:rPr>
          <w:b/>
        </w:rPr>
        <w:t xml:space="preserve">Procedure.</w:t>
        <w:t xml:space="preserve"> </w:t>
      </w:r>
      <w:r>
        <w:t xml:space="preserve"> </w:t>
      </w:r>
      <w:r>
        <w:t xml:space="preserve">A law enforcement agency that takes custody of abandoned liquor shall:</w:t>
      </w:r>
    </w:p>
    <w:p>
      <w:pPr>
        <w:jc w:val="both"/>
        <w:spacing w:before="100" w:after="0"/>
        <w:ind w:start="720"/>
      </w:pPr>
      <w:r>
        <w:rPr/>
        <w:t>A</w:t>
        <w:t xml:space="preserve">.  </w:t>
      </w:r>
      <w:r>
        <w:rPr/>
      </w:r>
      <w:r>
        <w:t xml:space="preserve">Notify the bureau that the agency has taken custody of the abandoned liquor and forward to the bureau the reason for taking custody and a complete list of the quantities and types of liquor in the agency's custody the day the law enforcement agency takes custody or the next regular business day; and</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720"/>
      </w:pPr>
      <w:r>
        <w:rPr/>
        <w:t>B</w:t>
        <w:t xml:space="preserve">.  </w:t>
      </w:r>
      <w:r>
        <w:rPr/>
      </w:r>
      <w:r>
        <w:t xml:space="preserve">Secure the liquor for a period of 30 days, after which time the agency shall transfer the liquor to the bureau for disposal.</w:t>
      </w:r>
      <w:r>
        <w:t xml:space="preserve">  </w:t>
      </w:r>
      <w:r xmlns:wp="http://schemas.openxmlformats.org/drawingml/2010/wordprocessingDrawing" xmlns:w15="http://schemas.microsoft.com/office/word/2012/wordml">
        <w:rPr>
          <w:rFonts w:ascii="Arial" w:hAnsi="Arial" w:cs="Arial"/>
          <w:sz w:val="22"/>
          <w:szCs w:val="22"/>
        </w:rPr>
        <w:t xml:space="preserve">[PL 2013, c. 368, Pt. V,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§55 (AMD).]</w:t>
      </w:r>
    </w:p>
    <w:p>
      <w:pPr>
        <w:jc w:val="both"/>
        <w:spacing w:before="100" w:after="0"/>
        <w:ind w:start="360"/>
        <w:ind w:firstLine="360"/>
      </w:pPr>
      <w:r>
        <w:rPr>
          <w:b/>
        </w:rPr>
        <w:t>3</w:t>
        <w:t xml:space="preserve">.  </w:t>
      </w:r>
      <w:r>
        <w:rPr>
          <w:b/>
        </w:rPr>
        <w:t xml:space="preserve">Filing a claim.</w:t>
        <w:t xml:space="preserve"> </w:t>
      </w:r>
      <w:r>
        <w:t xml:space="preserve"> </w:t>
      </w:r>
      <w:r>
        <w:t xml:space="preserve">A person who wishes to file a claim for abandoned liquor must notify the bureau in writing within the 30-day period prescribed in </w:t>
      </w:r>
      <w:r>
        <w:t>subsection 2, paragraph B</w:t>
      </w:r>
      <w:r>
        <w:t xml:space="preserve"> and identify the abandoned liquor.  If a claim is not made within the 30-day period, the abandoned liquor becomes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 PL 1997, c. 373, §163 (AMD). PL 2013, c. 368, Pt. V,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91.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