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department shall notify a municipality within 14 days of the date the department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the same information provided to a municipality under this section at the time that the department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Notification to municipality; sharing of information with Bureau of Revenue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Notification to municipality; sharing of information with Bureau of Revenue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§215. NOTIFICATION TO MUNICIPALITY; SHARING OF INFORMATION WITH BUREAU OF REVENUE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