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Funds</w:t>
      </w:r>
    </w:p>
    <w:p>
      <w:pPr>
        <w:jc w:val="both"/>
        <w:spacing w:before="100" w:after="100"/>
        <w:ind w:start="360"/>
        <w:ind w:firstLine="360"/>
      </w:pPr>
      <w:r>
        <w:rPr/>
      </w:r>
      <w:r>
        <w:rPr/>
      </w:r>
      <w:r>
        <w:t xml:space="preserve">The commission is the official agency of the State to receive and disburse any funds made available by the Federal Government for programs related to the purposes of the commission.</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§406.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