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Notice; recess of meetings and hearings</w:t>
      </w:r>
    </w:p>
    <w:p>
      <w:pPr>
        <w:jc w:val="both"/>
        <w:spacing w:before="100" w:after="100"/>
        <w:ind w:start="360"/>
        <w:ind w:firstLine="360"/>
      </w:pPr>
      <w:r>
        <w:rPr/>
      </w:r>
      <w:r>
        <w:rPr/>
      </w:r>
      <w:r>
        <w:t xml:space="preserve">Except in cases in which the public welfare is involved, a minimum of 3 working days' notice shall be required before the board will convene.</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When the board has taken jurisdiction of a case where a dispute exists, it may, at its discretion, recess the hearings for any reasonable purpose and may call a subsequent meeting as soon as practicable at any appropriate place or time which it may designate for a continuation of the proceedings.</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Notice; recess of meetings and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Notice; recess of meetings and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§933. NOTICE; RECESS OF MEETINGS AND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