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provided that the parties appearing before it so agree.  No member of the board may participate in any case in which he has a personal interest.</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Appointment and qualification; salaries and expenses; rules;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 and qualification; salaries and expenses; rules;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 APPOINTMENT AND QUALIFICATION; SALARIES AND EXPENSES; RULES;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