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Workplace policies</w:t>
      </w:r>
    </w:p>
    <w:p>
      <w:pPr>
        <w:jc w:val="both"/>
        <w:spacing w:before="100" w:after="100"/>
        <w:ind w:start="360"/>
        <w:ind w:firstLine="360"/>
      </w:pPr>
      <w:r>
        <w:rPr/>
      </w:r>
      <w:r>
        <w:rPr/>
      </w:r>
      <w:r>
        <w:t xml:space="preserve">This subchapter does not limit an employer's right to promulgate and maintain lawful workplace policies governing the use of the employer's electronic equipment, including a requirement that an employee disclose to the employer the employee's user name, password or other information necessary to access employer-issued electronic devices, including but not limited to cellular telephones and computers, or to access employer-provided software or e-mail accounts.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§618. Workplace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Workplace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§618. WORKPLACE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