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2172-A</w:t>
        <w:t xml:space="preserve">.  </w:t>
      </w:r>
      <w:r>
        <w:rPr>
          <w:b/>
        </w:rPr>
        <w:t xml:space="preserve">Apprenticeships</w:t>
      </w:r>
    </w:p>
    <w:p>
      <w:pPr>
        <w:jc w:val="both"/>
        <w:spacing w:before="100" w:after="0"/>
        <w:ind w:start="360"/>
        <w:ind w:firstLine="360"/>
      </w:pPr>
      <w:r>
        <w:rPr>
          <w:b/>
        </w:rPr>
        <w:t>1</w:t>
        <w:t xml:space="preserve">.  </w:t>
      </w:r>
      <w:r>
        <w:rPr>
          <w:b/>
        </w:rPr>
        <w:t xml:space="preserve">Notification to training applicants.</w:t>
        <w:t xml:space="preserve"> </w:t>
      </w:r>
      <w:r>
        <w:t xml:space="preserve"> </w:t>
      </w:r>
      <w:r>
        <w:t xml:space="preserve">The Department of Labor shall explain to each person seeking to enroll in a Maine Workforce Investment System program the general nature of registered apprenticeship programs, that a registered apprenticeship program is one of the job training options available under the Maine Workforce Investment System and ascertain that person's interest in such a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114, §22 (AMD).]</w:t>
      </w:r>
    </w:p>
    <w:p>
      <w:pPr>
        <w:jc w:val="both"/>
        <w:spacing w:before="100" w:after="100"/>
        <w:ind w:start="360"/>
        <w:ind w:firstLine="360"/>
      </w:pPr>
      <w:r>
        <w:rPr>
          <w:b/>
        </w:rPr>
        <w:t>2</w:t>
        <w:t xml:space="preserve">.  </w:t>
      </w:r>
      <w:r>
        <w:rPr>
          <w:b/>
        </w:rPr>
        <w:t xml:space="preserve">Referral.</w:t>
        <w:t xml:space="preserve"> </w:t>
      </w:r>
      <w:r>
        <w:t xml:space="preserve"> </w:t>
      </w:r>
      <w:r>
        <w:t xml:space="preserve">When an individual's employability development plan has been developed, the Maine Workforce Investment System service provider shall:</w:t>
      </w:r>
    </w:p>
    <w:p>
      <w:pPr>
        <w:jc w:val="both"/>
        <w:spacing w:before="100" w:after="0"/>
        <w:ind w:start="720"/>
      </w:pPr>
      <w:r>
        <w:rPr/>
        <w:t>A</w:t>
        <w:t xml:space="preserve">.  </w:t>
      </w:r>
      <w:r>
        <w:rPr/>
      </w:r>
      <w:r>
        <w:t xml:space="preserve">Determine whether the individual's employment goal includes an apprenticeable occupation as defined in </w:t>
      </w:r>
      <w:r>
        <w:t>section 3201, 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491, §12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491, §12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491, §12 (RP).]</w:t>
      </w:r>
    </w:p>
    <w:p>
      <w:pPr>
        <w:jc w:val="both"/>
        <w:spacing w:before="100" w:after="0"/>
        <w:ind w:start="720"/>
      </w:pPr>
      <w:r>
        <w:rPr/>
        <w:t>D</w:t>
        <w:t xml:space="preserve">.  </w:t>
      </w:r>
      <w:r>
        <w:rPr/>
      </w:r>
      <w:r>
        <w:t xml:space="preserve">Provide the trainee with information on educational and training opportunities that may be of assistance for indenturing in the registered apprenticeship program.</w:t>
      </w:r>
      <w:r>
        <w:t xml:space="preserve">  </w:t>
      </w:r>
      <w:r xmlns:wp="http://schemas.openxmlformats.org/drawingml/2010/wordprocessingDrawing" xmlns:w15="http://schemas.microsoft.com/office/word/2012/wordml">
        <w:rPr>
          <w:rFonts w:ascii="Arial" w:hAnsi="Arial" w:cs="Arial"/>
          <w:sz w:val="22"/>
          <w:szCs w:val="22"/>
        </w:rPr>
        <w:t xml:space="preserve">[PL 2011, c. 491,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630, §A1 (NEW). PL 2003, c. 114, §§22,23 (AMD). PL 2011, c. 491,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§2172-A. Apprenticeships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§2172-A. Apprenticeships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§2172-A. APPRENTICESHIPS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