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§1190. Study of benefit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Study of benefit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§1190. STUDY OF BENEFIT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