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shall not apply if the municipality, official or employee settles the claim without the consent of the State, or if the municipality, official or employee does not notify the State within 30 days after receiving actual written notice of the claim against him or within 15 days after the service of the summons and complaint upon him and if the State is prejudiced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Municipal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§1084. MUNICIPAL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