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will recommend terms of settlement and may make findings of fact; such recommendations and findings will be advisory only and will be made, if reasonably possible, within 60 days after the selection of the neutral arbitrator. The arbitrators may in their discretion make such recommendations and findings public, and either party may make such recommendations and findings public if agreement is not reached with respect to such findings and recommendations within 10 days after their receipt from the arbitrators. With respect to a controversy over subjects other than salaries, pensions and insurance, the arbitrators shall make determinations with respect thereto if reasonably possible within 60 days after the selection of the neutral arbitrator. Such determinations may be made public by the arbitrators or either party and if made by a majority of the arbitrators, such determinations will be binding on both parties and the parties will enter an agreement or take whatever other action that may be appropriate to carry out and effectuate such binding determinations, and such determinations will be subject to review by the Superior Court in the manner specified by </w:t>
      </w:r>
      <w:r>
        <w:t>section 1033</w:t>
      </w:r>
      <w:r>
        <w:t xml:space="preserve">.  The results of all arbitration proceedings, recommendations and awards conducted under this section shall be filed with the Maine Labor Relations Board at the offices of its executive director simultaneously with the submission of the recommendations and award to the parties. In the event the parties settle their dispute during the arbitration proceeding, the arbitrator or the chairman of the arbitration panel will submit a report of his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[PL 1983, c. 153, §2 (AMD).]</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§76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§1026.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§1026.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