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28. MINIMUM SAFETY STANDARDS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