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3503-B</w:t>
        <w:t xml:space="preserve">.  </w:t>
      </w:r>
      <w:r>
        <w:rPr>
          <w:b/>
        </w:rPr>
        <w:t xml:space="preserve">Bicycle disposal</w:t>
      </w:r>
    </w:p>
    <w:p>
      <w:pPr>
        <w:jc w:val="both"/>
        <w:spacing w:before="100" w:after="100"/>
        <w:ind w:start="360"/>
        <w:ind w:firstLine="360"/>
      </w:pPr>
      <w:r>
        <w:rPr/>
      </w:r>
      <w:r>
        <w:rPr/>
      </w:r>
      <w:r>
        <w:t xml:space="preserve">Notwithstanding </w:t>
      </w:r>
      <w:r>
        <w:t>section 3503</w:t>
      </w:r>
      <w:r>
        <w:t xml:space="preserve">, a local legislative body in a municipality may dispose of unclaimed bicycles in a manner decided by that body and is exempt from </w:t>
      </w:r>
      <w:r>
        <w:t>Title 33, chapter 45</w:t>
      </w:r>
      <w:r>
        <w:t xml:space="preserve"> with respect to unclaimed bicycles.</w:t>
      </w:r>
      <w:r>
        <w:t xml:space="preserve">  </w:t>
      </w:r>
      <w:r xmlns:wp="http://schemas.openxmlformats.org/drawingml/2010/wordprocessingDrawing" xmlns:w15="http://schemas.microsoft.com/office/word/2012/wordml">
        <w:rPr>
          <w:rFonts w:ascii="Arial" w:hAnsi="Arial" w:cs="Arial"/>
          <w:sz w:val="22"/>
          <w:szCs w:val="22"/>
        </w:rPr>
        <w:t xml:space="preserve">[PL 2019, c. 498,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77, §1 (NEW). PL 2019, c. 498,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§3503-B. Bicycle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§3503-B. Bicycle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§3503-B. BICYCLE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