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2934-A</w:t>
        <w:t xml:space="preserve">.  </w:t>
      </w:r>
      <w:r>
        <w:rPr>
          <w:b/>
        </w:rPr>
        <w:t xml:space="preserve">Emergency calling from multiline telephone systems</w:t>
      </w:r>
    </w:p>
    <w:p>
      <w:pPr>
        <w:jc w:val="both"/>
        <w:spacing w:before="100" w:after="0"/>
        <w:ind w:start="360"/>
        <w:ind w:firstLine="360"/>
      </w:pPr>
      <w:r>
        <w:rPr>
          <w:b/>
        </w:rPr>
        <w:t>1</w:t>
        <w:t xml:space="preserve">.  </w:t>
      </w:r>
      <w:r>
        <w:rPr>
          <w:b/>
        </w:rPr>
        <w:t xml:space="preserve">Direct dialing of 911.</w:t>
        <w:t xml:space="preserve"> </w:t>
      </w:r>
      <w:r>
        <w:t xml:space="preserve"> </w:t>
      </w:r>
      <w:r>
        <w:t xml:space="preserve">A public or private entity that installs or operates a multiline telephone system shall ensure that the system is connected to the public switched telephone network in such a way that when an individual using the system dials 911, the call connects to the public safety answering point without requiring the user to first dial any other number or set of numbers.  This subsection does not apply to any local unit of government if complying would necessitate additional expenditures from local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w:pPr>
        <w:jc w:val="both"/>
        <w:spacing w:before="100" w:after="0"/>
        <w:ind w:start="360"/>
        <w:ind w:firstLine="360"/>
      </w:pPr>
      <w:r>
        <w:rPr>
          <w:b/>
        </w:rPr>
        <w:t>2</w:t>
        <w:t xml:space="preserve">.  </w:t>
      </w:r>
      <w:r>
        <w:rPr>
          <w:b/>
        </w:rPr>
        <w:t xml:space="preserve">Compliance period.</w:t>
        <w:t xml:space="preserve"> </w:t>
      </w:r>
      <w:r>
        <w:t xml:space="preserve"> </w:t>
      </w:r>
      <w:r>
        <w:t xml:space="preserve">A public or private entity shall comply with </w:t>
      </w:r>
      <w:r>
        <w:t>subsection 1</w:t>
      </w:r>
      <w:r>
        <w:t xml:space="preserve"> within one year after the effective date of this section or, if the public or private entity does not have a multiline telephone system capable of complying with </w:t>
      </w:r>
      <w:r>
        <w:t>subsection 1</w:t>
      </w:r>
      <w:r>
        <w:t xml:space="preserve">, by the date that the multiline telephone system is next upgraded to a system capable of complying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§2934-A. Emergency calling from multiline telephone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§2934-A. Emergency calling from multiline telephone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§2934-A. EMERGENCY CALLING FROM MULTILINE TELEPHONE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