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2804-K</w:t>
        <w:t xml:space="preserve">.  </w:t>
      </w:r>
      <w:r>
        <w:rPr>
          <w:b/>
        </w:rPr>
        <w:t xml:space="preserve">Law enforcement training for judicial marshals</w:t>
      </w:r>
    </w:p>
    <w:p>
      <w:pPr>
        <w:jc w:val="both"/>
        <w:spacing w:before="100" w:after="100"/>
        <w:ind w:start="360"/>
        <w:ind w:firstLine="360"/>
      </w:pPr>
      <w:r>
        <w:rPr/>
      </w:r>
      <w:r>
        <w:rPr/>
      </w:r>
      <w:r>
        <w:t xml:space="preserve">As a condition to the continued employment of any person as a judicial marshal, that person must successfully complete, within the first 12 months of employment, the training required under </w:t>
      </w:r>
      <w:r>
        <w:t>section 2803‑A, subsection 8‑B</w:t>
      </w:r>
      <w:r>
        <w:t xml:space="preserve">.  Thereafter, as a condition of continued employment as a judicial marshal, the judicial marshal must satisfactorily maintain the judicial marshal certification by completing recertification requirements prescribed by the board.  The board, under extenuating and emergency circumstances in individual cases, may extend that period for not more than 180 days.</w:t>
      </w:r>
      <w:r>
        <w:t xml:space="preserve">  </w:t>
      </w:r>
      <w:r xmlns:wp="http://schemas.openxmlformats.org/drawingml/2010/wordprocessingDrawing" xmlns:w15="http://schemas.microsoft.com/office/word/2012/wordml">
        <w:rPr>
          <w:rFonts w:ascii="Arial" w:hAnsi="Arial" w:cs="Arial"/>
          <w:sz w:val="22"/>
          <w:szCs w:val="22"/>
        </w:rPr>
        <w:t xml:space="preserve">[PL 2013, c. 147,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400, §6 (NEW). PL 2005, c. 519, §XXX5 (AMD). PL 2013, c. 147,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§2804-K. Law enforcement training for judicial marshals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§2804-K. Law enforcement training for judicial marshals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§2804-K. LAW ENFORCEMENT TRAINING FOR JUDICIAL MARSHALS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