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§2450. Examinations by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Examinations by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§2450. EXAMINATIONS BY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