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2902-A</w:t>
        <w:t xml:space="preserve">.  </w:t>
      </w:r>
      <w:r>
        <w:rPr>
          <w:b/>
        </w:rPr>
        <w:t xml:space="preserve">Motorcycle passenger exclusion</w:t>
      </w:r>
    </w:p>
    <w:p>
      <w:pPr>
        <w:jc w:val="both"/>
        <w:spacing w:before="100" w:after="100"/>
        <w:ind w:start="360"/>
      </w:pPr>
      <w:r>
        <w:rPr>
          <w:b/>
        </w:rPr>
        <w:t>(REALLOCATED TO TITLE 24-A, SECTION 2902-B)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169 (NEW). PL 1985, c. 737, Pt. A, §60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§2902-A. Motorcycle passenger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§2902-A. Motorcycle passenger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§2902-A. MOTORCYCLE PASSENGER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