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2302-A</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every nonprofit hospital or medical service organization which issues or administers a program or contract in this State that contains a provision whereby in nonemergency cases the insured is required to be prospectively evaluated through a prehospital admission certification, preinpatient service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w:t>
      </w:r>
    </w:p>
    <w:p>
      <w:pPr>
        <w:jc w:val="both"/>
        <w:spacing w:before="100" w:after="0"/>
        <w:ind w:start="1080"/>
      </w:pPr>
      <w:r>
        <w:rPr/>
        <w:t>(</w:t>
        <w:t>1</w:t>
        <w:t xml:space="preserve">)  </w:t>
      </w:r>
      <w:r>
        <w:rPr/>
      </w:r>
      <w:r>
        <w:t xml:space="preserve">For the purposes of this section, the term "type of evaluations" means the following preutilization review categories:  Presurgical inpatient days; setting of medical service, such as inpatient or outpatient services; and the number of days of service;</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organization;</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C</w:t>
        <w:t xml:space="preserve">.  </w:t>
      </w:r>
      <w:r>
        <w:rPr/>
      </w:r>
      <w:r>
        <w:t xml:space="preserve">The number and result of any appeals by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w:pPr>
        <w:jc w:val="both"/>
        <w:spacing w:before="100" w:after="0"/>
        <w:ind w:start="720"/>
      </w:pPr>
      <w:r>
        <w:rPr/>
        <w:t>D</w:t>
        <w:t xml:space="preserve">.  </w:t>
      </w:r>
      <w:r>
        <w:rPr/>
      </w:r>
      <w:r>
        <w:t xml:space="preserve">Any complaints filed in a court of competent jurisdiction and served upon an organization filing under this section stating a cause of action against the organization on the basis of damages to patients alleged to have been proximately caused by a delay, reduction or denial of medical benefits by the organization,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1987, c. 168,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w:t>
      </w:r>
    </w:p>
    <w:p>
      <w:pPr>
        <w:jc w:val="both"/>
        <w:spacing w:before="100" w:after="0"/>
        <w:ind w:start="360"/>
        <w:ind w:firstLine="360"/>
      </w:pPr>
      <w:r>
        <w:rPr>
          <w:b/>
        </w:rPr>
        <w:t>2</w:t>
        <w:t xml:space="preserve">.  </w:t>
      </w:r>
      <w:r>
        <w:rPr>
          <w:b/>
        </w:rPr>
        <w:t xml:space="preserve">Maine residents.</w:t>
        <w:t xml:space="preserve"> </w:t>
      </w:r>
      <w:r>
        <w:t xml:space="preserve"> </w:t>
      </w:r>
      <w:r>
        <w:t xml:space="preserve">This section is applicable to evaluations, appeals and complaints relating to Maine residents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may not identify the names of patients.  If patient names are identified in information provided pursuant to this section, the patient names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§1 (NEW). PL 2023, c. 123,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§2302-A. Utilization review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§2302-A. Utilization review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§2302-A. UTILIZATION REVIEW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