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6103</w:t>
        <w:t xml:space="preserve">.  </w:t>
      </w:r>
      <w:r>
        <w:rPr>
          <w:b/>
        </w:rPr>
        <w:t xml:space="preserve">Binding effects of orders issued in the United States District Court</w:t>
      </w:r>
    </w:p>
    <w:p>
      <w:pPr>
        <w:jc w:val="both"/>
        <w:spacing w:before="100" w:after="100"/>
        <w:ind w:start="360"/>
        <w:ind w:firstLine="360"/>
      </w:pPr>
      <w:r>
        <w:rPr/>
      </w:r>
      <w:r>
        <w:rPr/>
      </w:r>
      <w:r>
        <w:t xml:space="preserve">An order issued by any district court of the United States enjoining a risk retention group from soliciting or selling insurance or operating in any state, or in all states or in any territory or possession of the United States, upon a finding that such a group is in a hazardous financial condition, shall be enforceable in the courts of this State.</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§6103. Binding effects of orders issued in the United States District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§6103. Binding effects of orders issued in the United States District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§6103. BINDING EFFECTS OF ORDERS ISSUED IN THE UNITED STATES DISTRICT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