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2151-B</w:t>
        <w:t xml:space="preserve">.  </w:t>
      </w:r>
      <w:r>
        <w:rPr>
          <w:b/>
        </w:rPr>
        <w:t xml:space="preserve">Rules</w:t>
      </w:r>
    </w:p>
    <w:p>
      <w:pPr>
        <w:jc w:val="both"/>
        <w:spacing w:before="100" w:after="100"/>
        <w:ind w:start="360"/>
        <w:ind w:firstLine="360"/>
      </w:pPr>
      <w:r>
        <w:rPr/>
      </w:r>
      <w:r>
        <w:rPr/>
      </w:r>
      <w:r>
        <w:t xml:space="preserve">Subject to the applicable requirements and procedures of the Maine Administrative Procedure Act, </w:t>
      </w:r>
      <w:r>
        <w:t>Title 5, chapter 375, subchapter II</w:t>
      </w:r>
      <w:r>
        <w:t xml:space="preserve">, the superintendent may promulgate rules defining, limiting or prescribing acts and practices which are deemed to be in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1985, c. 648,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648,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§2151-B.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§2151-B.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§2151-B.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