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6914</w:t>
        <w:t xml:space="preserve">.  </w:t>
      </w:r>
      <w:r>
        <w:rPr>
          <w:b/>
        </w:rPr>
        <w:t xml:space="preserve">Intragovernmental transfer</w:t>
      </w:r>
    </w:p>
    <w:p>
      <w:pPr>
        <w:jc w:val="both"/>
        <w:spacing w:before="100" w:after="100"/>
        <w:ind w:start="360"/>
        <w:ind w:firstLine="360"/>
      </w:pPr>
      <w:r>
        <w:rPr/>
      </w:r>
      <w:r>
        <w:rPr/>
      </w:r>
      <w:r>
        <w:t xml:space="preserve">Starting July 1, 2004,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150% of the nonfarm income official poverty line and is below or equal to 200%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January 1, 2012,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133% of the nonfarm income official poverty line and is below or equal to 150%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September 1, 2012, but not later than June 30, 2013, Dirigo Health shall transfer $7,210,000 from the Dirigo Health Enterprise Fund to the Medical Care - Payments to Providers, Other Special Revenue Funds account in the Department of Health and Human Services for the purpose of providing a state match for federal Medicaid services.</w:t>
      </w:r>
      <w:r>
        <w:t xml:space="preserve">  </w:t>
      </w:r>
      <w:r xmlns:wp="http://schemas.openxmlformats.org/drawingml/2010/wordprocessingDrawing" xmlns:w15="http://schemas.microsoft.com/office/word/2012/wordml">
        <w:rPr>
          <w:rFonts w:ascii="Arial" w:hAnsi="Arial" w:cs="Arial"/>
          <w:sz w:val="22"/>
          <w:szCs w:val="22"/>
        </w:rPr>
        <w:t xml:space="preserve">[PL 2013, c. 1,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§A14 (AMD). PL 2011, c. 380, Pt. BBB, §1 (AMD). PL 2011, c. 477, Pt. Y, §1 (AMD). PL 2013, c. 1, Pt. 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§6914. Intragovernmental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§6914. Intragovernmental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§6914. INTRAGOVERNMENTAL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