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Fees</w:t>
      </w:r>
    </w:p>
    <w:p>
      <w:pPr>
        <w:jc w:val="both"/>
        <w:spacing w:before="100" w:after="100"/>
        <w:ind w:start="360"/>
        <w:ind w:firstLine="360"/>
      </w:pPr>
      <w:r>
        <w:rPr/>
      </w:r>
      <w:r>
        <w:rPr/>
      </w:r>
      <w:r>
        <w:t xml:space="preserve">Every provider subject to this chapter shall pay to the superintendent the following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Initial application.</w:t>
        <w:t xml:space="preserve"> </w:t>
      </w:r>
      <w:r>
        <w:t xml:space="preserve"> </w:t>
      </w:r>
      <w:r>
        <w:t xml:space="preserve">For filing an initial application for a certificate of authority, $1,500;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Annual report.</w:t>
        <w:t xml:space="preserve"> </w:t>
      </w:r>
      <w:r>
        <w:t xml:space="preserve"> </w:t>
      </w:r>
      <w:r>
        <w:t xml:space="preserve">For filing each annual report,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