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Coverage for the diagnosis and treatment of autism spectrum disorders</w:t>
      </w:r>
    </w:p>
    <w:p>
      <w:pPr>
        <w:jc w:val="both"/>
        <w:spacing w:before="100" w:after="100"/>
        <w:ind w:start="360"/>
      </w:pPr>
      <w:r>
        <w:rPr>
          <w:b/>
        </w:rPr>
        <w:t>(REALLOCATED FROM TITLE 24-A, SECTION 2766)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autism spectrum disorders for an individual covered under a policy or contract who is 10 years of age or under in accordance with the following.</w:t>
      </w:r>
    </w:p>
    <w:p>
      <w:pPr>
        <w:jc w:val="both"/>
        <w:spacing w:before="100" w:after="0"/>
        <w:ind w:start="720"/>
      </w:pPr>
      <w:r>
        <w:rPr/>
        <w:t>A</w:t>
        <w:t xml:space="preserve">.  </w:t>
      </w:r>
      <w:r>
        <w:rPr/>
      </w:r>
      <w:r>
        <w:t xml:space="preserve">The policy or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The policy or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The policy or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D</w:t>
        <w:t xml:space="preserve">.  </w:t>
      </w:r>
      <w:r>
        <w:rPr/>
      </w:r>
      <w:r>
        <w:t xml:space="preserve">The policy or contract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or contract.  Coverage for prescription drugs for the treatment of autism spectrum disorders must be determined in the same manner as coverage for prescription drugs for the treatment of any other illness or condition is determined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§1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 PL 2013, c. 597, §1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§2768.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§2768.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