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2749-C</w:t>
        <w:t xml:space="preserve">.  </w:t>
      </w:r>
      <w:r>
        <w:rPr>
          <w:b/>
        </w:rPr>
        <w:t xml:space="preserve"> Mental health services coverage</w:t>
      </w:r>
    </w:p>
    <w:p>
      <w:pPr>
        <w:jc w:val="both"/>
        <w:spacing w:before="100" w:after="100"/>
        <w:ind w:start="360"/>
        <w:ind w:firstLine="360"/>
      </w:pPr>
      <w:r>
        <w:rPr>
          <w:b/>
        </w:rPr>
        <w:t>1</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by all individual policies is subject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D, §1 (RP).]</w:t>
      </w:r>
    </w:p>
    <w:p>
      <w:pPr>
        <w:jc w:val="both"/>
        <w:spacing w:before="100" w:after="0"/>
        <w:ind w:start="720"/>
      </w:pPr>
      <w:r>
        <w:rPr/>
        <w:t>A-1</w:t>
        <w:t xml:space="preserve">.  </w:t>
      </w:r>
      <w:r>
        <w:rPr/>
      </w:r>
      <w:r>
        <w:t xml:space="preserve">All individual contracts must provide, at a minimum, benefits according to </w:t>
      </w:r>
      <w:r>
        <w:t>paragraph B</w:t>
      </w:r>
      <w:r>
        <w:t xml:space="preserve">, subparagraph (1) for a person receiving medical treatment for any of the following categories of mental illness as defined in the Diagnostic and Statistical Manual as defined in </w:t>
      </w:r>
      <w:r>
        <w:t>section 2843, subsection 3, paragraph A‑1</w:t>
      </w:r>
      <w:r>
        <w:t xml:space="preserve">,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§1 (NEW).]</w:t>
      </w:r>
    </w:p>
    <w:p>
      <w:pPr>
        <w:jc w:val="both"/>
        <w:spacing w:before="100" w:after="0"/>
        <w:ind w:start="720"/>
      </w:pPr>
      <w:r>
        <w:rPr/>
        <w:t>B</w:t>
        <w:t xml:space="preserve">.  </w:t>
      </w:r>
      <w:r>
        <w:rPr/>
      </w:r>
      <w:r>
        <w:t xml:space="preserve">All individual policies and contracts executed, delivered, issued for delivery, continued or renewed in this State must provide coverage providing benefits that meet the requirements of this paragraph.</w:t>
      </w:r>
    </w:p>
    <w:p>
      <w:pPr>
        <w:jc w:val="both"/>
        <w:spacing w:before="100" w:after="0"/>
        <w:ind w:start="1080"/>
      </w:pPr>
      <w:r>
        <w:rPr/>
        <w:t>(</w:t>
        <w:t>1</w:t>
        <w:t xml:space="preserve">)  </w:t>
      </w:r>
      <w:r>
        <w:rPr/>
      </w:r>
      <w:r>
        <w:t xml:space="preserve">The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policy.  An insurer may not deny treatment for mental health services that use evidence-based practices and are determined to be medically necessary health care for an individual 21 years of age or younger.  For the purposes of this subparagraph, "evidence-based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§2 (AMD).]</w:t>
      </w:r>
    </w:p>
    <w:p>
      <w:pPr>
        <w:jc w:val="both"/>
        <w:spacing w:before="100" w:after="0"/>
        <w:ind w:start="360"/>
        <w:ind w:firstLine="360"/>
      </w:pPr>
      <w:r>
        <w:rPr>
          <w:b/>
        </w:rPr>
        <w:t>2</w:t>
        <w:t xml:space="preserve">.  </w:t>
      </w:r>
      <w:r>
        <w:rPr>
          <w:b/>
        </w:rPr>
        <w:t xml:space="preserve">Contracts; providers.</w:t>
        <w:t xml:space="preserve"> </w:t>
      </w:r>
      <w:r>
        <w:t xml:space="preserve"> </w:t>
      </w:r>
      <w:r>
        <w:t xml:space="preserve">An insurer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§9 (AMD); PL 2003, c. 20, Pt. VV, §25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4</w:t>
        <w:t xml:space="preserve">.  </w:t>
      </w:r>
      <w:r>
        <w:rPr>
          <w:b/>
        </w:rPr>
        <w:t xml:space="preserve">Reports to the superintendent.</w:t>
        <w:t xml:space="preserve"> </w:t>
      </w:r>
      <w:r>
        <w:t xml:space="preserve"> </w:t>
      </w:r>
      <w:r>
        <w:t xml:space="preserve">Every insurer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health care policies, both separated according to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5</w:t>
        <w:t xml:space="preserve">.  </w:t>
      </w:r>
      <w:r>
        <w:rPr>
          <w:b/>
        </w:rPr>
        <w:t xml:space="preserve">Application.</w:t>
        <w:t xml:space="preserve"> </w:t>
      </w:r>
      <w:r>
        <w:t xml:space="preserve"> </w:t>
      </w:r>
      <w:r>
        <w:t xml:space="preserve">Except as otherwise provided, the requirements of this section apply to all policies and contracts executed, delivered, issued for delivery, continued or renewed in this State on or after July 1, 1996.  For purposes of this section, all policies are deemed renewed no later than the next yearly anniversary of the contract date.  Nothing in this section applies to accidental injury, specified disease, hospital indemnity, Medicare supplement, long-term care or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 PL 1995, c. 637, §3 (AMD). PL 2003, c. 20, §§VV8,9 (AMD). PL 2003, c. 20, §VV25 (AFF). PL 2019, c. 5, Pt. D, §1 (AMD). PL 2021, c. 595,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§2749-C.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§2749-C.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§2749-C.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