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2718</w:t>
        <w:t xml:space="preserve">.  </w:t>
      </w:r>
      <w:r>
        <w:rPr>
          <w:b/>
        </w:rPr>
        <w:t xml:space="preserve">Optional policy provisions</w:t>
      </w:r>
    </w:p>
    <w:p>
      <w:pPr>
        <w:jc w:val="both"/>
        <w:spacing w:before="100" w:after="100"/>
        <w:ind w:start="360"/>
        <w:ind w:firstLine="360"/>
      </w:pPr>
      <w:r>
        <w:rPr/>
      </w:r>
      <w:r>
        <w:rPr/>
      </w:r>
      <w:r>
        <w:t xml:space="preserve">Except as provided in </w:t>
      </w:r>
      <w:r>
        <w:t>section 2704, subsection 2</w:t>
      </w:r>
      <w:r>
        <w:t xml:space="preserve">, no such policy delivered or issued for delivery to any person in this State shall contain provisions respecting the matters set forth in </w:t>
      </w:r>
      <w:r>
        <w:t>sections 2719</w:t>
      </w:r>
      <w:r>
        <w:t xml:space="preserve"> to </w:t>
      </w:r>
      <w:r>
        <w:t>2728</w:t>
      </w:r>
      <w:r>
        <w:t xml:space="preserve">,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§46 (AMD).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§2718. Optional policy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§2718. Optional policy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§2718. OPTIONAL POLICY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