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2321-E</w:t>
        <w:t xml:space="preserve">.  </w:t>
      </w:r>
      <w:r>
        <w:rPr>
          <w:b/>
        </w:rPr>
        <w:t xml:space="preserve">Filing of prospective loss costs and supplemental information</w:t>
      </w:r>
    </w:p>
    <w:p>
      <w:pPr>
        <w:jc w:val="both"/>
        <w:spacing w:before="100" w:after="100"/>
        <w:ind w:start="360"/>
        <w:ind w:firstLine="360"/>
      </w:pPr>
      <w:r>
        <w:rPr/>
      </w:r>
      <w:r>
        <w:rPr/>
      </w:r>
      <w:r>
        <w:t xml:space="preserve">Advisory organizations may develop and file with the superintendent for approval prospective loss costs and supplementary rating information.  Such filings shall contain the statistical data and supporting information for calculations or assumptions underlying the prospective loss costs.  Advisory organization filings are subject to the provisions of </w:t>
      </w:r>
      <w:r>
        <w:t>sections 2303</w:t>
      </w:r>
      <w:r>
        <w:t xml:space="preserve">, </w:t>
      </w:r>
      <w:r>
        <w:t>2304‑A</w:t>
      </w:r>
      <w:r>
        <w:t xml:space="preserve"> and </w:t>
      </w:r>
      <w:r>
        <w:t>2304‑B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§2321-E. Filing of prospective loss costs and supplemental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§2321-E. Filing of prospective loss costs and supplemental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§2321-E. FILING OF PROSPECTIVE LOSS COSTS AND SUPPLEMENTAL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