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8116</w:t>
        <w:t xml:space="preserve">.  </w:t>
      </w:r>
      <w:r>
        <w:rPr>
          <w:b/>
        </w:rPr>
        <w:t xml:space="preserve">Report to the Legislature; departmental review</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1996, on an annual basis, the authority shall present its report to the Legislative Council and send copies to the joint standing committee of the Legislature having jurisdiction over transportation matters and the Commissioner of Transportation.  The report shall include a description of the authority's activities for the preceding fiscal year, including a report of its receipts and expenditures from all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Operating budget.</w:t>
        <w:t xml:space="preserve"> </w:t>
      </w:r>
      <w:r>
        <w:t xml:space="preserve"> </w:t>
      </w:r>
      <w:r>
        <w:t xml:space="preserve">Beginning January 31, 1996, on an annual basis, the authority shall present the operating budget of the authority for the next fiscal year beginning July 1st to the Commissioner of Transportation for approval.  The authority may only make expenditures in accordance with allocations approved by the commissioner.  Any balance of an allocation that at any time may not be required for the purpose named in that allocation may be transferred at any time prior to the closing of the books to any other allocation for the use of the authority for the same fiscal year subject to review and approval by the commissioner.  Fiscal statements describing a transfer must be submitted by the authority to the commissioner 30 days before the transfer is to be implemented.  These fiscal statements must include information specifying the accounts that are affected, amounts to be transferred, a description of the transfer and a detailed explanation as to why the transfer is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§8116. Report to the Legislature; departmental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§8116. Report to the Legislature; departmental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§8116. REPORT TO THE LEGISLATURE; DEPARTMENTAL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