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Transportation policy</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b/>
        </w:rPr>
        <w:t>(CONFLICT: Text as amended by PL 2023, c. 177, §2)</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177, §2 (AMD).]</w:t>
      </w:r>
    </w:p>
    <w:p>
      <w:pPr>
        <w:jc w:val="both"/>
        <w:spacing w:before="100" w:after="0"/>
        <w:ind w:start="720"/>
      </w:pPr>
      <w:r>
        <w:rPr/>
        <w:t>F</w:t>
        <w:t xml:space="preserve">.  </w:t>
      </w:r>
      <w:r>
        <w:rPr>
          <w:b/>
        </w:rPr>
        <w:t>(CONFLICT: Text as amended by PL 2023, c. 319, §2)</w:t>
        <w:t xml:space="preserve"> </w:t>
      </w:r>
      <w:r>
        <w:rPr/>
      </w:r>
      <w:r>
        <w:t xml:space="preserve">Be consistent with the purposes, goals and policies of the Comprehensive Planning and Land Use Regulation Act;</w:t>
      </w:r>
      <w:r>
        <w:t xml:space="preserve">  </w:t>
      </w:r>
      <w:r xmlns:wp="http://schemas.openxmlformats.org/drawingml/2010/wordprocessingDrawing" xmlns:w15="http://schemas.microsoft.com/office/word/2012/wordml">
        <w:rPr>
          <w:rFonts w:ascii="Arial" w:hAnsi="Arial" w:cs="Arial"/>
          <w:sz w:val="22"/>
          <w:szCs w:val="22"/>
        </w:rPr>
        <w:t xml:space="preserve">[PL 2023, c. 319, §2 (AMD).]</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177, §2 (AMD); PL 2023, c. 319, §§1, 2 (AMD); RR 2023, c. 1, Pt. A, §§19-21 (COR).]</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 Transportation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Transportation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 TRANSPORTATION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