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Major modifications in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Major modifications in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§7104. MAJOR MODIFICATIONS IN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