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§7082. Payment of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Payment of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§7082. PAYMENT OF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