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6024</w:t>
        <w:t xml:space="preserve">.  </w:t>
      </w:r>
      <w:r>
        <w:rPr>
          <w:b/>
        </w:rPr>
        <w:t xml:space="preserve">Company liable for trespasses on adjoining land</w:t>
      </w:r>
    </w:p>
    <w:p>
      <w:pPr>
        <w:jc w:val="both"/>
        <w:spacing w:before="100" w:after="100"/>
        <w:ind w:start="360"/>
        <w:ind w:firstLine="360"/>
      </w:pPr>
      <w:r>
        <w:rPr/>
      </w:r>
      <w:r>
        <w:rPr/>
      </w:r>
      <w:r>
        <w:t xml:space="preserve">The corporation is liable for trespasses and injuries to lands and buildings adjoining or in the vicinity of its road committed by a person in its employment or occasioned by its order, if the party injured within 60 days after the injured gives notice to the corporation; but its liability does not extend to acts of willful and malicious trespass. The person committing a trespass is also liable.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§6024. Company liable for trespasses on adjoining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§6024. Company liable for trespasses on adjoining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§6024. COMPANY LIABLE FOR TRESPASSES ON ADJOINING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